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0C00">
      <w:pPr>
        <w:widowControl/>
        <w:shd w:val="clear" w:color="auto" w:fill="FFFFFF"/>
        <w:adjustRightInd w:val="0"/>
        <w:spacing w:before="156" w:beforeLines="50" w:after="156" w:afterLines="50" w:line="360" w:lineRule="auto"/>
        <w:jc w:val="center"/>
        <w:rPr>
          <w:rFonts w:hint="eastAsia" w:ascii="楷体" w:hAnsi="楷体" w:eastAsia="楷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关于举办“</w:t>
      </w:r>
      <w:r>
        <w:rPr>
          <w:rFonts w:ascii="楷体" w:hAnsi="楷体" w:eastAsia="楷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上海高价值专利运营大赛</w:t>
      </w: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”的通知</w:t>
      </w:r>
    </w:p>
    <w:p w14:paraId="4E471B43">
      <w:pPr>
        <w:widowControl/>
        <w:shd w:val="clear" w:color="auto" w:fill="FFFFFF"/>
        <w:adjustRightInd w:val="0"/>
        <w:spacing w:line="360" w:lineRule="auto"/>
        <w:ind w:firstLine="42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深入贯彻、落实“十四五”规划和2035年远景目标纲要，助力上海全面推进知识产权强市建设，促进知识产权高质量创造，推动知识产权和科技成果产权交易的高效运用，在上海市知识产权局、上海市科学技术委员会、上海市教育委员会的指导下，由上海技术交易所、上海市高校科技发展中心、上海市知识产权服务中心共同主办的 “2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4上海高价值专利运营大赛”（以下简称“上高赛”），于7月22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日正式启动项目报名。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诚邀各相关单位组织推荐专利运营项目参与此项赛事。现将大赛相关事项通知如下：</w:t>
      </w:r>
    </w:p>
    <w:p w14:paraId="18EDA552">
      <w:pPr>
        <w:widowControl/>
        <w:shd w:val="clear" w:color="auto" w:fill="FFFFFF"/>
        <w:adjustRightInd w:val="0"/>
        <w:spacing w:line="360" w:lineRule="auto"/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一、大赛定位</w:t>
      </w:r>
    </w:p>
    <w:p w14:paraId="52D2CDDB">
      <w:pPr>
        <w:widowControl/>
        <w:shd w:val="clear" w:color="auto" w:fill="FFFFFF"/>
        <w:adjustRightInd w:val="0"/>
        <w:spacing w:line="360" w:lineRule="auto"/>
        <w:ind w:firstLine="42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高赛是全国首个聚焦“运营”的专利大赛，主打“边比赛边运营，促转化提能级”。经过以往连续两年的赛事，上高赛形成了“以赛事为契机，以赛程为链条，以服务为亮点，以转化为目标”的办赛特色。2024年，上高赛再次启动，本届大赛旨在挖掘一批创新程度高、市场竞争力强、专利优势明显的专利运营项目，以推动高校院所、企业的专利转移转化工作，充分释放并彰显专利资源的经济效益与社会价值，成为吸引汇聚高价值专利在上海转化的重要平台，为上海经济社会高质量发展注入新动能、塑造新优势。</w:t>
      </w:r>
    </w:p>
    <w:p w14:paraId="098BCAE8">
      <w:pPr>
        <w:widowControl/>
        <w:shd w:val="clear" w:color="auto" w:fill="FFFFFF"/>
        <w:adjustRightInd w:val="0"/>
        <w:spacing w:line="360" w:lineRule="auto"/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二、大赛组织机构</w:t>
      </w:r>
    </w:p>
    <w:p w14:paraId="7F313227"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hint="eastAsia"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指导单位：</w:t>
      </w:r>
      <w:r>
        <w:rPr>
          <w:rFonts w:hint="eastAsia" w:ascii="楷体" w:hAnsi="楷体" w:eastAsia="楷体"/>
          <w:sz w:val="24"/>
          <w:szCs w:val="28"/>
        </w:rPr>
        <w:t>上海市知识产权局、</w:t>
      </w:r>
      <w:r>
        <w:rPr>
          <w:rFonts w:ascii="楷体" w:hAnsi="楷体" w:eastAsia="楷体"/>
          <w:sz w:val="24"/>
          <w:szCs w:val="28"/>
        </w:rPr>
        <w:t>上海市科学技术委员会</w:t>
      </w:r>
      <w:r>
        <w:rPr>
          <w:rFonts w:hint="eastAsia" w:ascii="楷体" w:hAnsi="楷体" w:eastAsia="楷体"/>
          <w:sz w:val="24"/>
          <w:szCs w:val="28"/>
        </w:rPr>
        <w:t>、上海市教育委员会</w:t>
      </w:r>
    </w:p>
    <w:p w14:paraId="1D5E018C"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主办单位：</w:t>
      </w:r>
      <w:r>
        <w:rPr>
          <w:rFonts w:hint="eastAsia" w:ascii="楷体" w:hAnsi="楷体" w:eastAsia="楷体"/>
          <w:sz w:val="24"/>
          <w:szCs w:val="28"/>
        </w:rPr>
        <w:t>上海技术交易所、</w:t>
      </w:r>
      <w:r>
        <w:rPr>
          <w:rFonts w:ascii="楷体" w:hAnsi="楷体" w:eastAsia="楷体"/>
          <w:sz w:val="24"/>
          <w:szCs w:val="28"/>
        </w:rPr>
        <w:t>上海市高校科技发展中心</w:t>
      </w:r>
      <w:r>
        <w:rPr>
          <w:rFonts w:hint="eastAsia" w:ascii="楷体" w:hAnsi="楷体" w:eastAsia="楷体"/>
          <w:sz w:val="24"/>
          <w:szCs w:val="28"/>
        </w:rPr>
        <w:t>、</w:t>
      </w:r>
      <w:r>
        <w:rPr>
          <w:rFonts w:ascii="楷体" w:hAnsi="楷体" w:eastAsia="楷体"/>
          <w:sz w:val="24"/>
          <w:szCs w:val="28"/>
        </w:rPr>
        <w:t>上海市知识产权服务中心</w:t>
      </w:r>
    </w:p>
    <w:p w14:paraId="4311F60F"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hint="eastAsia"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支持平台：</w:t>
      </w:r>
      <w:r>
        <w:rPr>
          <w:rFonts w:hint="eastAsia" w:ascii="楷体" w:hAnsi="楷体" w:eastAsia="楷体"/>
          <w:sz w:val="24"/>
          <w:szCs w:val="28"/>
        </w:rPr>
        <w:t>长三角科技成果路演中心</w:t>
      </w:r>
    </w:p>
    <w:p w14:paraId="1EE30D3A"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支持单位：</w:t>
      </w:r>
      <w:r>
        <w:rPr>
          <w:rFonts w:hint="eastAsia" w:ascii="楷体" w:hAnsi="楷体" w:eastAsia="楷体"/>
          <w:sz w:val="24"/>
          <w:szCs w:val="28"/>
        </w:rPr>
        <w:t>上海徐汇百羿医学创新转化中心、上海新能源行业协会、科创板日报、S创、同济大学国家大学科技园核心园、上海紫竹高新技术产业园区、湾谷科技园。</w:t>
      </w:r>
    </w:p>
    <w:p w14:paraId="516B0E9C"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三、</w:t>
      </w: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参赛主体及要求</w:t>
      </w:r>
    </w:p>
    <w:p w14:paraId="4DB6A932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本次上高赛分设高校院所组、企业组两个组别，上海及其他省市范围内的创新主体（高校、科研院所、医疗卫生机构、企业、科创团队、高校院所在读本硕博学生团队等）均可参赛，其中：</w:t>
      </w:r>
    </w:p>
    <w:p w14:paraId="0BDD5D05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1、高校、科研院所、医疗卫生机构等，以及高校和科研院所在读学生（含本科、硕博研究生等）团队拥有的尚未实施转化但计划实施转化、已实施转化或正在转化中的专利项目，均属于高校院所组赛道；</w:t>
      </w:r>
    </w:p>
    <w:p w14:paraId="650C9E3D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、企业、科创团队等拥有并正在运营中的专利项目，属于企业组赛道。</w:t>
      </w:r>
    </w:p>
    <w:p w14:paraId="12E67B2E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3、报名项目要求：</w:t>
      </w:r>
    </w:p>
    <w:p w14:paraId="2F1048C3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参赛项目专利要求至少指定一项（不超过三项）专利作为参赛核心专利，核心专利为202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年5月1日前已申请或授权的有效专利，无知识产权纠纷，近两年（202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年1月1日之后）新推向市场或准面市的项目优先。</w:t>
      </w:r>
    </w:p>
    <w:p w14:paraId="1EC42B65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如果参赛项目的核心专利为多个专利权人，参赛申请人应征得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其他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专利权人的同意。</w:t>
      </w:r>
    </w:p>
    <w:p w14:paraId="1D70FEAA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参赛的专利项目，需有较强的对抗无效请求的能力，具备专利稳定性的基本条件。</w:t>
      </w:r>
    </w:p>
    <w:p w14:paraId="14AC4E0E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（4）参赛项目的运营团队核心成员不少于 3 人（含 3 人）。</w:t>
      </w:r>
    </w:p>
    <w:p w14:paraId="786AF204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4、参赛项目范围</w:t>
      </w:r>
    </w:p>
    <w:p w14:paraId="5F62C542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有科技领域的专利运营案例、项目均可报名。符合“9+X”战略性新兴产业和先导产业范围的高价值专利运营项目优先，即重点优先集成电路、生物医药、人工智能、新能源汽车、高端装备、航空航天、信息通信、新材料、新兴数字产业领域项目报名。</w:t>
      </w:r>
    </w:p>
    <w:p w14:paraId="1CE747C7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同时，开放全域科技行业项目报名，包括但不限于绿色低碳、未来产业、农业和食品科技等领域。</w:t>
      </w:r>
    </w:p>
    <w:p w14:paraId="301F7DDA">
      <w:pPr>
        <w:widowControl/>
        <w:shd w:val="clear" w:color="auto" w:fill="FFFFFF"/>
        <w:adjustRightInd w:val="0"/>
        <w:spacing w:line="360" w:lineRule="auto"/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四、大赛安排</w:t>
      </w:r>
    </w:p>
    <w:p w14:paraId="432BD90E">
      <w:pPr>
        <w:widowControl/>
        <w:shd w:val="clear" w:color="auto" w:fill="FFFFFF"/>
        <w:adjustRightIn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1、大赛报名</w:t>
      </w:r>
    </w:p>
    <w:p w14:paraId="0432C528">
      <w:pPr>
        <w:widowControl/>
        <w:shd w:val="clear" w:color="auto" w:fill="FFFFFF"/>
        <w:adjustRightIn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赛事于7月22日启动，符合参赛要求的主体可以登录大赛官网进行报名。</w:t>
      </w:r>
    </w:p>
    <w:p w14:paraId="64A8CA17">
      <w:pPr>
        <w:widowControl/>
        <w:shd w:val="clear" w:color="auto" w:fill="FFFFFF"/>
        <w:adjustRightInd w:val="0"/>
        <w:spacing w:line="360" w:lineRule="auto"/>
        <w:ind w:firstLine="480" w:firstLineChars="200"/>
        <w:rPr>
          <w:rFonts w:hint="eastAsia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大赛官网地址：</w:t>
      </w:r>
      <w:r>
        <w:rPr>
          <w:rFonts w:hint="eastAsia"/>
        </w:rPr>
        <w:t>http://2024.ipop.sh.cn/</w:t>
      </w:r>
    </w:p>
    <w:p w14:paraId="01ABB3BB">
      <w:pPr>
        <w:widowControl/>
        <w:shd w:val="clear" w:color="auto" w:fill="FFFFFF"/>
        <w:adjustRightIn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报名截止日期：9月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331AC19C">
      <w:pPr>
        <w:widowControl/>
        <w:shd w:val="clear" w:color="auto" w:fill="FFFFFF"/>
        <w:adjustRightIn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2、大赛赛程</w:t>
      </w:r>
    </w:p>
    <w:p w14:paraId="24824BC0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（1）初筛并公示（9月-10月）</w:t>
      </w:r>
    </w:p>
    <w:p w14:paraId="704AE063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报名成功的项目将根据对应组别，由大赛组委会组织专家进行线上评议。经过评议，遴选出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100个项目进入复赛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并进行公示。</w:t>
      </w:r>
    </w:p>
    <w:p w14:paraId="5EB415C2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（2）百强榜单发布（10月）</w:t>
      </w:r>
    </w:p>
    <w:p w14:paraId="765DE4EF">
      <w:pPr>
        <w:widowControl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大赛组委会对所有报名项目进行初筛并选出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100个入围项目，发布专利运营价值榜入围名单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，即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上高赛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专利运营优秀榜”名单。</w:t>
      </w:r>
    </w:p>
    <w:p w14:paraId="322C3BD9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（3）进行复赛路演，科创课程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，组织精准对接（10月-11月）</w:t>
      </w:r>
    </w:p>
    <w:p w14:paraId="179ABF31">
      <w:pPr>
        <w:widowControl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对入围的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100个项目进行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路演筛评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，遴选出20个推荐项目进入决赛。</w:t>
      </w:r>
    </w:p>
    <w:p w14:paraId="475D5401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同时，大赛组委会将为所有入围100强的项目提供专利运营辅导、路演技能培训、科技金融等系列科创课程培训福利。此外，还将通过调研走访进行项目辅导，并组织项目精准对接活动，为有转化和融资意向的项目与大企业、园区、投资和金融机构进行匹配对接。</w:t>
      </w:r>
    </w:p>
    <w:p w14:paraId="40018ABF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（4）复赛结果公示，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赛前一对一辅导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（11月） </w:t>
      </w:r>
    </w:p>
    <w:p w14:paraId="7D3EFA34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公示复赛结果，并由大赛组委会针对入围决赛的项目开展一对一专项辅导，从决赛素材的准备以及后期推广的策划进行全方位的包装和建议，以保障项目的优质呈现和后续的市场推介。</w:t>
      </w:r>
    </w:p>
    <w:p w14:paraId="74118783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（5）决赛及颁奖典礼（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2月上旬） </w:t>
      </w:r>
    </w:p>
    <w:p w14:paraId="16575C28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入围决赛的20个项目将进行决赛，通过现场路演和专家评选，决出各奖项归属。同期还将举行颁奖典礼。</w:t>
      </w:r>
    </w:p>
    <w:p w14:paraId="30771C6F">
      <w:pPr>
        <w:widowControl/>
        <w:shd w:val="clear" w:color="auto" w:fill="FFFFFF"/>
        <w:adjustRightInd w:val="0"/>
        <w:spacing w:line="360" w:lineRule="auto"/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五、奖项设置</w:t>
      </w:r>
    </w:p>
    <w:p w14:paraId="703DE607">
      <w:pPr>
        <w:widowControl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两个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专利运营奖</w:t>
      </w:r>
    </w:p>
    <w:p w14:paraId="11AE9774">
      <w:pPr>
        <w:widowControl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专利运营标杆奖（共1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名）：面向参赛的前1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名设立该奖项，企业组和高校院所组各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名，每名2万元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现金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奖励。</w:t>
      </w:r>
    </w:p>
    <w:p w14:paraId="25DA679C">
      <w:pPr>
        <w:widowControl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专利运营服务奖（若干）：由各参赛主体推荐，服务过参赛单位的专利运营机构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和金融服务机构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组成，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综合评议其推动专利运营的价值及其社会责任。</w:t>
      </w:r>
    </w:p>
    <w:p w14:paraId="1411A740">
      <w:pPr>
        <w:widowControl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2、两个专利运营榜单</w:t>
      </w:r>
    </w:p>
    <w:p w14:paraId="0449F129">
      <w:pPr>
        <w:widowControl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专利运营价值榜（共20名）：面向入围决赛的20个项目设立该榜单。</w:t>
      </w:r>
    </w:p>
    <w:p w14:paraId="21A51347">
      <w:pPr>
        <w:widowControl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专利运营优秀榜（共100名）：通过上高赛组委会初筛入围的100个项目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进入该榜单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D162A82">
      <w:pPr>
        <w:widowControl/>
        <w:shd w:val="clear" w:color="auto" w:fill="FFFFFF"/>
        <w:adjustRightInd w:val="0"/>
        <w:spacing w:line="360" w:lineRule="auto"/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</w:t>
      </w:r>
      <w:bookmarkStart w:id="0" w:name="_GoBack"/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大赛专属加油包</w:t>
      </w:r>
      <w:bookmarkEnd w:id="0"/>
    </w:p>
    <w:p w14:paraId="462CD332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面向百强项目：</w:t>
      </w:r>
    </w:p>
    <w:p w14:paraId="57FBC535">
      <w:pPr>
        <w:widowControl/>
        <w:numPr>
          <w:ilvl w:val="0"/>
          <w:numId w:val="1"/>
        </w:numPr>
        <w:shd w:val="clear" w:color="auto" w:fill="FFFFFF"/>
        <w:adjustRightInd w:val="0"/>
        <w:spacing w:line="360" w:lineRule="auto"/>
        <w:ind w:left="420" w:leftChars="200"/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优先获得上海技术交易所挂牌交易“直通车”服务。</w:t>
      </w:r>
    </w:p>
    <w:p w14:paraId="05D302C6">
      <w:pPr>
        <w:widowControl/>
        <w:shd w:val="clear" w:color="auto" w:fill="FFFFFF"/>
        <w:adjustRightInd w:val="0"/>
        <w:spacing w:line="360" w:lineRule="auto"/>
        <w:ind w:left="420" w:leftChars="200"/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直通多家投资机构和基金提供的投资对接服务。</w:t>
      </w:r>
    </w:p>
    <w:p w14:paraId="49848594">
      <w:pPr>
        <w:widowControl/>
        <w:shd w:val="clear" w:color="auto" w:fill="FFFFFF"/>
        <w:adjustRightInd w:val="0"/>
        <w:spacing w:line="360" w:lineRule="auto"/>
        <w:ind w:left="420" w:leftChars="200"/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直通多家金融机构提供的知识产权质押融资服务。</w:t>
      </w:r>
    </w:p>
    <w:p w14:paraId="099237DD">
      <w:pPr>
        <w:widowControl/>
        <w:shd w:val="clear" w:color="auto" w:fill="FFFFFF"/>
        <w:adjustRightInd w:val="0"/>
        <w:spacing w:line="360" w:lineRule="auto"/>
        <w:ind w:left="420" w:leftChars="200"/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优先获得现场专访机会和“长三角科技成果路演中心”项目推广机会。</w:t>
      </w:r>
    </w:p>
    <w:p w14:paraId="3C93ACFB">
      <w:pPr>
        <w:widowControl/>
        <w:shd w:val="clear" w:color="auto" w:fill="FFFFFF"/>
        <w:adjustRightInd w:val="0"/>
        <w:spacing w:line="360" w:lineRule="auto"/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七、赛事联系</w:t>
      </w:r>
    </w:p>
    <w:p w14:paraId="085FE70A"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本通知未尽事宜可咨询组委会：</w:t>
      </w:r>
    </w:p>
    <w:p w14:paraId="61C4F9BB"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联系人：张晓鑫 18317193572 石竹溪</w:t>
      </w:r>
      <w:r>
        <w:rPr>
          <w:rFonts w:ascii="楷体" w:hAnsi="楷体" w:eastAsia="楷体"/>
          <w:sz w:val="24"/>
          <w:szCs w:val="28"/>
        </w:rPr>
        <w:t xml:space="preserve"> 15202121208</w:t>
      </w:r>
      <w:r>
        <w:rPr>
          <w:rFonts w:hint="eastAsia" w:ascii="楷体" w:hAnsi="楷体" w:eastAsia="楷体"/>
          <w:sz w:val="24"/>
          <w:szCs w:val="28"/>
        </w:rPr>
        <w:t xml:space="preserve"> </w:t>
      </w:r>
    </w:p>
    <w:p w14:paraId="60AA858E">
      <w:pPr>
        <w:spacing w:line="360" w:lineRule="auto"/>
        <w:ind w:firstLine="480" w:firstLineChars="200"/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赛事邮箱：</w:t>
      </w:r>
      <w:r>
        <w:fldChar w:fldCharType="begin"/>
      </w:r>
      <w:r>
        <w:instrText xml:space="preserve"> HYPERLINK "mailto:marketing@stte.com" </w:instrText>
      </w:r>
      <w:r>
        <w:fldChar w:fldCharType="separate"/>
      </w: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marketing</w:t>
      </w:r>
      <w:r>
        <w:rPr>
          <w:rFonts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@stte.com</w:t>
      </w:r>
      <w:r>
        <w:rPr>
          <w:rFonts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2CD799EC">
      <w:pPr>
        <w:spacing w:line="360" w:lineRule="auto"/>
        <w:ind w:firstLine="480" w:firstLineChars="200"/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8D2889C">
      <w:pPr>
        <w:widowControl/>
        <w:shd w:val="clear" w:color="auto" w:fill="FFFFFF"/>
        <w:adjustRightInd w:val="0"/>
        <w:spacing w:line="360" w:lineRule="auto"/>
        <w:jc w:val="left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/>
          <w:sz w:val="24"/>
          <w:szCs w:val="28"/>
        </w:rPr>
        <w:t>上海高价值专利运营大赛组委会</w:t>
      </w:r>
    </w:p>
    <w:p w14:paraId="0FCF6AFE">
      <w:pPr>
        <w:widowControl/>
        <w:shd w:val="clear" w:color="auto" w:fill="FFFFFF"/>
        <w:adjustRightInd w:val="0"/>
        <w:spacing w:line="360" w:lineRule="auto"/>
        <w:jc w:val="right"/>
        <w:rPr>
          <w:rFonts w:hint="eastAsia"/>
        </w:rPr>
      </w:pPr>
      <w:r>
        <w:rPr>
          <w:rFonts w:hint="eastAsia" w:ascii="楷体" w:hAnsi="楷体" w:eastAsia="楷体"/>
          <w:sz w:val="24"/>
          <w:szCs w:val="28"/>
        </w:rPr>
        <w:t>2024年7月22日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5674E"/>
    <w:multiLevelType w:val="singleLevel"/>
    <w:tmpl w:val="0E15674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WVhOWJhOGNjNmQxM2UzZjY3ZDUwMjI0YjkyZGEifQ=="/>
  </w:docVars>
  <w:rsids>
    <w:rsidRoot w:val="004832FE"/>
    <w:rsid w:val="00001F9A"/>
    <w:rsid w:val="00007B7B"/>
    <w:rsid w:val="000423C3"/>
    <w:rsid w:val="000554BD"/>
    <w:rsid w:val="00056334"/>
    <w:rsid w:val="00061358"/>
    <w:rsid w:val="00076F76"/>
    <w:rsid w:val="00085212"/>
    <w:rsid w:val="000969A7"/>
    <w:rsid w:val="000A53C9"/>
    <w:rsid w:val="000C1593"/>
    <w:rsid w:val="000C703C"/>
    <w:rsid w:val="000D5F08"/>
    <w:rsid w:val="000D646B"/>
    <w:rsid w:val="000F1BC8"/>
    <w:rsid w:val="00124064"/>
    <w:rsid w:val="00133BBD"/>
    <w:rsid w:val="00151714"/>
    <w:rsid w:val="00166210"/>
    <w:rsid w:val="0017049B"/>
    <w:rsid w:val="00190444"/>
    <w:rsid w:val="001A362B"/>
    <w:rsid w:val="00200357"/>
    <w:rsid w:val="00242939"/>
    <w:rsid w:val="00261413"/>
    <w:rsid w:val="00274CE5"/>
    <w:rsid w:val="002A244C"/>
    <w:rsid w:val="002D5F04"/>
    <w:rsid w:val="00355B02"/>
    <w:rsid w:val="0037492C"/>
    <w:rsid w:val="00397F44"/>
    <w:rsid w:val="003E3772"/>
    <w:rsid w:val="0041419B"/>
    <w:rsid w:val="00431825"/>
    <w:rsid w:val="00444F2E"/>
    <w:rsid w:val="004832FE"/>
    <w:rsid w:val="004901EA"/>
    <w:rsid w:val="004C175C"/>
    <w:rsid w:val="004C73C4"/>
    <w:rsid w:val="004D558E"/>
    <w:rsid w:val="00565C0C"/>
    <w:rsid w:val="00567265"/>
    <w:rsid w:val="00581738"/>
    <w:rsid w:val="00597F6E"/>
    <w:rsid w:val="005D1BA7"/>
    <w:rsid w:val="00654A17"/>
    <w:rsid w:val="0066511D"/>
    <w:rsid w:val="00695D0B"/>
    <w:rsid w:val="006C238B"/>
    <w:rsid w:val="00727BC1"/>
    <w:rsid w:val="00732C92"/>
    <w:rsid w:val="00740FE0"/>
    <w:rsid w:val="0075283E"/>
    <w:rsid w:val="00763846"/>
    <w:rsid w:val="00785F55"/>
    <w:rsid w:val="007C2E8A"/>
    <w:rsid w:val="00810750"/>
    <w:rsid w:val="00831F94"/>
    <w:rsid w:val="00863F4E"/>
    <w:rsid w:val="008872C6"/>
    <w:rsid w:val="0089028D"/>
    <w:rsid w:val="008A0C80"/>
    <w:rsid w:val="008C0697"/>
    <w:rsid w:val="008E1CEE"/>
    <w:rsid w:val="0090117B"/>
    <w:rsid w:val="0090521F"/>
    <w:rsid w:val="00934861"/>
    <w:rsid w:val="00966FF4"/>
    <w:rsid w:val="00980060"/>
    <w:rsid w:val="009A0CB8"/>
    <w:rsid w:val="009A1795"/>
    <w:rsid w:val="00A12122"/>
    <w:rsid w:val="00A6018B"/>
    <w:rsid w:val="00A64D6B"/>
    <w:rsid w:val="00AA7CC0"/>
    <w:rsid w:val="00AB5022"/>
    <w:rsid w:val="00AC3E9B"/>
    <w:rsid w:val="00AE021F"/>
    <w:rsid w:val="00AF0682"/>
    <w:rsid w:val="00B40388"/>
    <w:rsid w:val="00BA3B8C"/>
    <w:rsid w:val="00BB0C3D"/>
    <w:rsid w:val="00BC27EC"/>
    <w:rsid w:val="00BF18BB"/>
    <w:rsid w:val="00C003EF"/>
    <w:rsid w:val="00C21DB1"/>
    <w:rsid w:val="00C341EC"/>
    <w:rsid w:val="00C478AB"/>
    <w:rsid w:val="00C53AEA"/>
    <w:rsid w:val="00CA775B"/>
    <w:rsid w:val="00CD0BD5"/>
    <w:rsid w:val="00CF755F"/>
    <w:rsid w:val="00D07A8E"/>
    <w:rsid w:val="00D57B8B"/>
    <w:rsid w:val="00D83DC3"/>
    <w:rsid w:val="00D93A18"/>
    <w:rsid w:val="00DC62C2"/>
    <w:rsid w:val="00DC78E6"/>
    <w:rsid w:val="00DE194C"/>
    <w:rsid w:val="00E141D0"/>
    <w:rsid w:val="00E2370A"/>
    <w:rsid w:val="00E26D07"/>
    <w:rsid w:val="00E47455"/>
    <w:rsid w:val="00E52CDC"/>
    <w:rsid w:val="00EA5336"/>
    <w:rsid w:val="00EB36AD"/>
    <w:rsid w:val="00EE0638"/>
    <w:rsid w:val="00EE0B5C"/>
    <w:rsid w:val="00EF5D95"/>
    <w:rsid w:val="00F43B66"/>
    <w:rsid w:val="00FA5ADD"/>
    <w:rsid w:val="00FB1F5A"/>
    <w:rsid w:val="00FE0B88"/>
    <w:rsid w:val="00FF73A0"/>
    <w:rsid w:val="05F33397"/>
    <w:rsid w:val="06B607F5"/>
    <w:rsid w:val="080E3B70"/>
    <w:rsid w:val="08A8014D"/>
    <w:rsid w:val="0F360E40"/>
    <w:rsid w:val="12064AFA"/>
    <w:rsid w:val="194A1C56"/>
    <w:rsid w:val="1E3B4D9E"/>
    <w:rsid w:val="23830B10"/>
    <w:rsid w:val="2B1E7202"/>
    <w:rsid w:val="2C266948"/>
    <w:rsid w:val="304508E6"/>
    <w:rsid w:val="30C27C70"/>
    <w:rsid w:val="329F6B99"/>
    <w:rsid w:val="340E30B5"/>
    <w:rsid w:val="348A2F11"/>
    <w:rsid w:val="3787198A"/>
    <w:rsid w:val="3BFD221A"/>
    <w:rsid w:val="3C8E3CF4"/>
    <w:rsid w:val="41775FDA"/>
    <w:rsid w:val="485811A7"/>
    <w:rsid w:val="49691B94"/>
    <w:rsid w:val="4A0329EB"/>
    <w:rsid w:val="4A5B4312"/>
    <w:rsid w:val="4ACF6D53"/>
    <w:rsid w:val="4EFF11AE"/>
    <w:rsid w:val="4F6C638C"/>
    <w:rsid w:val="571114B5"/>
    <w:rsid w:val="5A3D1AA1"/>
    <w:rsid w:val="5C9E32FE"/>
    <w:rsid w:val="5EAC2F32"/>
    <w:rsid w:val="63035AB9"/>
    <w:rsid w:val="66255669"/>
    <w:rsid w:val="67DD30B0"/>
    <w:rsid w:val="72DB435C"/>
    <w:rsid w:val="73C350F7"/>
    <w:rsid w:val="750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2173</Words>
  <Characters>2288</Characters>
  <Lines>17</Lines>
  <Paragraphs>4</Paragraphs>
  <TotalTime>50</TotalTime>
  <ScaleCrop>false</ScaleCrop>
  <LinksUpToDate>false</LinksUpToDate>
  <CharactersWithSpaces>2335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2024-07-19T09:21:00Z</dcterms:created>
  <dc:creator>ben yue</dc:creator>
  <cp:lastModifiedBy>Hdx</cp:lastModifiedBy>
  <dcterms:modified xsi:type="dcterms:W3CDTF">2024-07-25T01:53:01Z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E2B838C624644F8995018745FDEA9595_13</vt:lpwstr>
  </property>
</Properties>
</file>