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5AC2D">
      <w:pPr>
        <w:spacing w:line="600" w:lineRule="exact"/>
        <w:ind w:firstLine="720" w:firstLineChars="200"/>
        <w:jc w:val="center"/>
        <w:rPr>
          <w:rFonts w:hint="eastAsia" w:ascii="华文中宋" w:hAnsi="华文中宋" w:eastAsia="华文中宋" w:cs="华文中宋"/>
          <w:sz w:val="36"/>
          <w:szCs w:val="36"/>
          <w:lang w:val="en-US" w:eastAsia="zh-CN"/>
        </w:rPr>
      </w:pPr>
      <w:bookmarkStart w:id="1" w:name="_GoBack"/>
      <w:bookmarkEnd w:id="1"/>
    </w:p>
    <w:p w14:paraId="436BE38F">
      <w:pPr>
        <w:spacing w:line="600" w:lineRule="exact"/>
        <w:ind w:firstLine="720" w:firstLineChars="200"/>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lang w:val="en-US" w:eastAsia="zh-CN"/>
        </w:rPr>
        <w:t>2025年度</w:t>
      </w:r>
      <w:r>
        <w:rPr>
          <w:rFonts w:hint="eastAsia" w:ascii="华文中宋" w:hAnsi="华文中宋" w:eastAsia="华文中宋" w:cs="华文中宋"/>
          <w:sz w:val="36"/>
          <w:szCs w:val="36"/>
          <w:lang w:eastAsia="zh-CN"/>
        </w:rPr>
        <w:t>全国教育科学规划中国教育法治与全球教育治理研究专项</w:t>
      </w:r>
      <w:r>
        <w:rPr>
          <w:rFonts w:hint="eastAsia" w:ascii="华文中宋" w:hAnsi="华文中宋" w:eastAsia="华文中宋" w:cs="华文中宋"/>
          <w:sz w:val="36"/>
          <w:szCs w:val="36"/>
          <w:lang w:val="en-US" w:eastAsia="zh-CN"/>
        </w:rPr>
        <w:t>指南</w:t>
      </w:r>
    </w:p>
    <w:p w14:paraId="2B4F55ED">
      <w:pPr>
        <w:spacing w:line="560" w:lineRule="exact"/>
        <w:jc w:val="center"/>
        <w:rPr>
          <w:rFonts w:hint="eastAsia" w:ascii="Times New Roman" w:hAnsi="Times New Roman" w:eastAsia="方正小标宋简体" w:cs="方正小标宋简体"/>
          <w:sz w:val="44"/>
          <w:szCs w:val="44"/>
          <w:highlight w:val="none"/>
          <w:lang w:eastAsia="zh-CN"/>
        </w:rPr>
      </w:pPr>
    </w:p>
    <w:p w14:paraId="784AD2BC">
      <w:pPr>
        <w:numPr>
          <w:ilvl w:val="0"/>
          <w:numId w:val="0"/>
        </w:numPr>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sz w:val="32"/>
          <w:szCs w:val="32"/>
        </w:rPr>
        <w:t>中国教育法治与全球教育治理研究专项</w:t>
      </w: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cs="Times New Roman"/>
          <w:b w:val="0"/>
          <w:bCs w:val="0"/>
          <w:sz w:val="32"/>
          <w:szCs w:val="32"/>
        </w:rPr>
        <w:t>重点、一般</w:t>
      </w:r>
      <w:r>
        <w:rPr>
          <w:rFonts w:hint="eastAsia" w:ascii="Times New Roman" w:hAnsi="Times New Roman" w:eastAsia="仿宋_GB2312" w:cs="Times New Roman"/>
          <w:b w:val="0"/>
          <w:bCs w:val="0"/>
          <w:sz w:val="32"/>
          <w:szCs w:val="32"/>
          <w:lang w:eastAsia="zh-CN"/>
        </w:rPr>
        <w:t>和</w:t>
      </w:r>
      <w:r>
        <w:rPr>
          <w:rFonts w:hint="eastAsia" w:ascii="Times New Roman" w:hAnsi="Times New Roman" w:eastAsia="仿宋_GB2312" w:cs="Times New Roman"/>
          <w:b w:val="0"/>
          <w:bCs w:val="0"/>
          <w:sz w:val="32"/>
          <w:szCs w:val="32"/>
          <w:lang w:val="en-US" w:eastAsia="zh-CN"/>
        </w:rPr>
        <w:t>培育</w:t>
      </w:r>
      <w:r>
        <w:rPr>
          <w:rFonts w:hint="eastAsia" w:ascii="Times New Roman" w:hAnsi="Times New Roman" w:eastAsia="仿宋_GB2312" w:cs="Times New Roman"/>
          <w:b w:val="0"/>
          <w:bCs w:val="0"/>
          <w:sz w:val="32"/>
          <w:szCs w:val="32"/>
        </w:rPr>
        <w:t>项目。申报重点项目</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一般项目</w:t>
      </w:r>
      <w:r>
        <w:rPr>
          <w:rFonts w:hint="eastAsia" w:ascii="Times New Roman" w:hAnsi="Times New Roman" w:eastAsia="仿宋_GB2312" w:cs="Times New Roman"/>
          <w:b w:val="0"/>
          <w:bCs w:val="0"/>
          <w:sz w:val="32"/>
          <w:szCs w:val="32"/>
        </w:rPr>
        <w:t>必须从相应条目中选择，</w:t>
      </w:r>
      <w:r>
        <w:rPr>
          <w:rFonts w:hint="eastAsia" w:ascii="Times New Roman" w:hAnsi="Times New Roman" w:eastAsia="仿宋_GB2312" w:cs="Times New Roman"/>
          <w:b w:val="0"/>
          <w:bCs w:val="0"/>
          <w:sz w:val="32"/>
          <w:szCs w:val="32"/>
          <w:lang w:eastAsia="zh-CN"/>
        </w:rPr>
        <w:t>并</w:t>
      </w:r>
      <w:r>
        <w:rPr>
          <w:rFonts w:hint="default" w:ascii="Times New Roman" w:hAnsi="Times New Roman" w:eastAsia="仿宋_GB2312" w:cs="Times New Roman"/>
          <w:b w:val="0"/>
          <w:bCs w:val="0"/>
          <w:sz w:val="32"/>
          <w:szCs w:val="32"/>
          <w:lang w:val="en-US" w:eastAsia="zh"/>
        </w:rPr>
        <w:t>按照指南意图</w:t>
      </w:r>
      <w:r>
        <w:rPr>
          <w:rFonts w:hint="eastAsia" w:ascii="Times New Roman" w:hAnsi="Times New Roman" w:eastAsia="仿宋_GB2312" w:cs="Times New Roman"/>
          <w:b w:val="0"/>
          <w:bCs w:val="0"/>
          <w:sz w:val="32"/>
          <w:szCs w:val="32"/>
          <w:lang w:val="en-US" w:eastAsia="zh-CN"/>
        </w:rPr>
        <w:t>进行研究设计</w:t>
      </w:r>
      <w:r>
        <w:rPr>
          <w:rFonts w:hint="default" w:ascii="Times New Roman" w:hAnsi="Times New Roman" w:eastAsia="仿宋_GB2312" w:cs="Times New Roman"/>
          <w:b w:val="0"/>
          <w:bCs w:val="0"/>
          <w:sz w:val="32"/>
          <w:szCs w:val="32"/>
          <w:lang w:val="en-US" w:eastAsia="zh"/>
        </w:rPr>
        <w:t>。</w:t>
      </w:r>
      <w:r>
        <w:rPr>
          <w:rFonts w:hint="eastAsia" w:ascii="Times New Roman" w:hAnsi="Times New Roman" w:eastAsia="仿宋_GB2312" w:cs="Times New Roman"/>
          <w:b w:val="0"/>
          <w:bCs w:val="0"/>
          <w:sz w:val="32"/>
          <w:szCs w:val="32"/>
        </w:rPr>
        <w:t>自拟选题不予受理。</w:t>
      </w:r>
      <w:r>
        <w:rPr>
          <w:rFonts w:hint="eastAsia" w:ascii="Times New Roman" w:hAnsi="Times New Roman" w:eastAsia="仿宋_GB2312" w:cs="Times New Roman"/>
          <w:b w:val="0"/>
          <w:bCs w:val="0"/>
          <w:sz w:val="32"/>
          <w:szCs w:val="32"/>
          <w:lang w:val="en-US" w:eastAsia="zh-CN"/>
        </w:rPr>
        <w:t>培育项目</w:t>
      </w:r>
      <w:r>
        <w:rPr>
          <w:rFonts w:hint="eastAsia" w:ascii="Times New Roman" w:hAnsi="Times New Roman" w:eastAsia="仿宋_GB2312" w:cs="Times New Roman"/>
          <w:b w:val="0"/>
          <w:bCs w:val="0"/>
          <w:sz w:val="32"/>
          <w:szCs w:val="32"/>
        </w:rPr>
        <w:t>如确有需要，可对选题进行适当微调，但不得大幅压缩或改变研究内容。</w:t>
      </w:r>
      <w:r>
        <w:rPr>
          <w:rFonts w:hint="eastAsia" w:ascii="仿宋_GB2312" w:hAnsi="Times New Roman" w:eastAsia="仿宋_GB2312" w:cs="Times New Roman"/>
          <w:color w:val="auto"/>
          <w:kern w:val="2"/>
          <w:sz w:val="32"/>
          <w:szCs w:val="32"/>
          <w:lang w:val="en-US" w:eastAsia="zh-CN" w:bidi="ar-SA"/>
        </w:rPr>
        <w:t>研究期限为2-3年，不得延期。</w:t>
      </w:r>
      <w:r>
        <w:rPr>
          <w:rFonts w:hint="eastAsia" w:ascii="Times New Roman" w:hAnsi="Times New Roman" w:eastAsia="仿宋_GB2312" w:cs="Times New Roman"/>
          <w:b w:val="0"/>
          <w:bCs w:val="0"/>
          <w:sz w:val="32"/>
          <w:szCs w:val="32"/>
        </w:rPr>
        <w:t>每个选题原则上只确立1个立项项目。</w:t>
      </w:r>
    </w:p>
    <w:p w14:paraId="360533E8">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p>
    <w:p w14:paraId="4A5171BA">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 xml:space="preserve">1. </w:t>
      </w:r>
      <w:r>
        <w:rPr>
          <w:rFonts w:hint="eastAsia" w:ascii="Times New Roman" w:hAnsi="Times New Roman" w:eastAsia="楷体_GB2312" w:cs="Times New Roman"/>
          <w:b/>
          <w:bCs/>
          <w:sz w:val="32"/>
          <w:szCs w:val="32"/>
          <w:highlight w:val="none"/>
        </w:rPr>
        <w:t>构建中国教育法学自主知识体系研究</w:t>
      </w:r>
      <w:r>
        <w:rPr>
          <w:rFonts w:hint="eastAsia" w:ascii="Times New Roman" w:hAnsi="Times New Roman" w:eastAsia="楷体_GB2312" w:cs="Times New Roman"/>
          <w:b/>
          <w:bCs/>
          <w:sz w:val="32"/>
          <w:szCs w:val="32"/>
          <w:highlight w:val="none"/>
          <w:lang w:val="en-US" w:eastAsia="zh-CN"/>
        </w:rPr>
        <w:t>（重点）</w:t>
      </w:r>
    </w:p>
    <w:p w14:paraId="30541BCB">
      <w:pPr>
        <w:numPr>
          <w:ilvl w:val="0"/>
          <w:numId w:val="0"/>
        </w:numPr>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梳理习近平总书记关于教育的重要论述并进行法理阐释和法律表达；（2）研究中国教育法学知识体系的价值取向、核心范畴、基本原则、理论特色；（3）探索中国教育法学自主知识体系构建的方法和路径；（4）形成中国教育法学基本框架与核心内容。</w:t>
      </w:r>
    </w:p>
    <w:p w14:paraId="72A3F36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 国（境）外学位质量评价及认证制度研究（重点）</w:t>
      </w:r>
    </w:p>
    <w:p w14:paraId="3A170F12">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2"/>
          <w:sz w:val="32"/>
          <w:szCs w:val="32"/>
          <w:u w:val="none"/>
          <w:lang w:val="en-US" w:eastAsia="zh-CN" w:bidi="ar-SA"/>
        </w:rPr>
      </w:pPr>
      <w:r>
        <w:rPr>
          <w:rFonts w:hint="eastAsia" w:ascii="楷体_GB2312" w:hAnsi="楷体_GB2312" w:eastAsia="楷体_GB2312" w:cs="楷体_GB2312"/>
          <w:b/>
          <w:bCs/>
          <w:kern w:val="2"/>
          <w:sz w:val="32"/>
          <w:szCs w:val="32"/>
          <w:lang w:val="en-US" w:eastAsia="zh-CN" w:bidi="ar-SA"/>
        </w:rPr>
        <w:t>指南意图：</w:t>
      </w:r>
      <w:r>
        <w:rPr>
          <w:rFonts w:hint="eastAsia" w:ascii="仿宋_GB2312" w:hAnsi="楷体" w:eastAsia="仿宋_GB2312" w:cs="Times New Roman"/>
          <w:kern w:val="2"/>
          <w:sz w:val="32"/>
          <w:szCs w:val="32"/>
          <w:lang w:val="en-US" w:eastAsia="zh-CN" w:bidi="ar-SA"/>
        </w:rPr>
        <w:t>（1）调研国（境）外主要国家、地区高等教育机构资质评估、课程与教学质量评估以及学生学习成果评估体系的历史沿革与现状；（2）研究国（境）外文凭证书与同等学历学位对应规则、跨境在线教育的质量保证与文凭证书互认机制；（3）构建国（境）外学位质量评价体系，拓宽现行认证办法的外延和内涵；（4）完善我国学位认证制度和认证标准及与质量相关的评估考察标准和程序。</w:t>
      </w:r>
    </w:p>
    <w:p w14:paraId="67FFA9E9">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3. 考试招生管理法治化研究（一般）</w:t>
      </w:r>
    </w:p>
    <w:p w14:paraId="5DFA7EBF">
      <w:pPr>
        <w:numPr>
          <w:ilvl w:val="0"/>
          <w:numId w:val="0"/>
        </w:num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梳理考试招生政策的历史沿革并检视其现状与问题；（2）域外考试招生制度研究与借鉴；（3）论证《教育招生考试管理办法》《国家教育考试违规处理办法》制定、修订的必要性、可行性与法治功能；（4）阐明考试招生立法的指导思想、基本原则、技术方法、体例结构和内容构造；（5）构建考试招生制度的法律规范体系框架。</w:t>
      </w:r>
    </w:p>
    <w:p w14:paraId="3BB4B37D">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4. 中外合作办学法律制度和规范研究（一般）</w:t>
      </w:r>
    </w:p>
    <w:p w14:paraId="5A99FA90">
      <w:pPr>
        <w:numPr>
          <w:ilvl w:val="0"/>
          <w:numId w:val="0"/>
        </w:numPr>
        <w:spacing w:line="560" w:lineRule="exact"/>
        <w:ind w:firstLine="643" w:firstLineChars="200"/>
        <w:rPr>
          <w:rFonts w:hint="eastAsia" w:ascii="Times New Roman" w:hAnsi="Times New Roman" w:eastAsia="仿宋_GB2312" w:cs="仿宋_GB2312"/>
          <w:b w:val="0"/>
          <w:bCs w:val="0"/>
          <w:sz w:val="32"/>
          <w:szCs w:val="32"/>
          <w:u w:val="none"/>
        </w:rPr>
      </w:pPr>
      <w:r>
        <w:rPr>
          <w:rFonts w:hint="eastAsia" w:ascii="Times New Roman" w:hAnsi="Times New Roman" w:eastAsia="仿宋_GB2312" w:cs="仿宋_GB2312"/>
          <w:b/>
          <w:bCs/>
          <w:sz w:val="32"/>
          <w:szCs w:val="32"/>
          <w:u w:val="none"/>
        </w:rPr>
        <w:t>指南意图：</w:t>
      </w:r>
      <w:r>
        <w:rPr>
          <w:rFonts w:hint="eastAsia" w:ascii="Times New Roman" w:hAnsi="Times New Roman" w:eastAsia="仿宋_GB2312" w:cs="仿宋_GB2312"/>
          <w:b w:val="0"/>
          <w:bCs w:val="0"/>
          <w:sz w:val="32"/>
          <w:szCs w:val="32"/>
          <w:u w:val="none"/>
        </w:rPr>
        <w:t>（1）梳理中外合作办学制度沿革；（2）开展中外合作办学相关制度国际比较研究；（3）调研相关国家支持国外高校赴本国开展合作办学的法律与政策要求；（4）提出优化中外合作办学结构与布局、吸引更多境外高水平大学来华合作办学的措施建议；（5）提出完善中外合作办学法规规章的意见建议。</w:t>
      </w:r>
    </w:p>
    <w:p w14:paraId="23A7D915">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5. 教育法规范的体系化研究（一般）</w:t>
      </w:r>
    </w:p>
    <w:p w14:paraId="18B61611">
      <w:pPr>
        <w:numPr>
          <w:ilvl w:val="0"/>
          <w:numId w:val="0"/>
        </w:numPr>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系统梳理我国现行教育法规范；（2）提出教育法规范体系化构建的核心范畴和基本原则；（3）释明当前教育法规范在全面性、合法性、逻辑自洽性方面存在的问题；（4）提出现行教育法规范的立、改、废具体方案。</w:t>
      </w:r>
    </w:p>
    <w:p w14:paraId="2D05A41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 xml:space="preserve">6. </w:t>
      </w:r>
      <w:r>
        <w:rPr>
          <w:rFonts w:hint="eastAsia" w:ascii="Times New Roman" w:hAnsi="Times New Roman" w:eastAsia="楷体_GB2312" w:cs="Times New Roman"/>
          <w:b/>
          <w:bCs/>
          <w:sz w:val="32"/>
          <w:szCs w:val="32"/>
          <w:highlight w:val="none"/>
        </w:rPr>
        <w:t>构建“全球治理倡议”：理论基础、现实挑战与实践路径研究</w:t>
      </w:r>
      <w:r>
        <w:rPr>
          <w:rFonts w:hint="eastAsia" w:ascii="Times New Roman" w:hAnsi="Times New Roman" w:eastAsia="楷体_GB2312" w:cs="Times New Roman"/>
          <w:b/>
          <w:bCs/>
          <w:sz w:val="32"/>
          <w:szCs w:val="32"/>
          <w:highlight w:val="none"/>
          <w:lang w:val="en-US" w:eastAsia="zh-CN"/>
        </w:rPr>
        <w:t>（一般）</w:t>
      </w:r>
    </w:p>
    <w:p w14:paraId="414C5422">
      <w:pPr>
        <w:ind w:firstLine="64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b/>
          <w:bCs/>
          <w:sz w:val="32"/>
          <w:szCs w:val="32"/>
        </w:rPr>
        <w:t>指南意图：</w:t>
      </w:r>
      <w:r>
        <w:rPr>
          <w:rFonts w:hint="eastAsia" w:ascii="Times New Roman" w:hAnsi="Times New Roman" w:eastAsia="仿宋_GB2312" w:cs="仿宋_GB2312"/>
          <w:b w:val="0"/>
          <w:bCs w:val="0"/>
          <w:sz w:val="32"/>
          <w:szCs w:val="32"/>
        </w:rPr>
        <w:t>（1）全面梳理党的十八大以来，党中央和国家层面重要文件中的涉外内容的核心理念、中心思想和主要观点，强化相关倡议的理论根基</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（2）深入贯彻落实习近平总书记提出的“三大倡议”，研究提出“全球治理倡议”的理论及实现路径，构建中国国际倡议体系</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（3）探索并提出具有中国特色、国际视野、全球关照的治理框架与行动方案</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构建</w:t>
      </w:r>
      <w:r>
        <w:rPr>
          <w:rFonts w:hint="eastAsia" w:ascii="Times New Roman" w:hAnsi="Times New Roman" w:eastAsia="仿宋_GB2312" w:cs="仿宋_GB2312"/>
          <w:b w:val="0"/>
          <w:bCs w:val="0"/>
          <w:sz w:val="32"/>
          <w:szCs w:val="32"/>
        </w:rPr>
        <w:t>“全球治理倡议”，研究相关倡议的具体内容、提出时机、实施路径、配套政策和保障措施等。</w:t>
      </w:r>
    </w:p>
    <w:p w14:paraId="59C644F1">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7. 在线教育质量保障和文凭证书认可机制研究（一般）</w:t>
      </w:r>
    </w:p>
    <w:p w14:paraId="66C12212">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楷体_GB2312" w:hAnsi="楷体_GB2312" w:eastAsia="楷体_GB2312" w:cs="楷体_GB2312"/>
          <w:b/>
          <w:bCs/>
          <w:kern w:val="2"/>
          <w:sz w:val="32"/>
          <w:szCs w:val="32"/>
          <w:lang w:val="en-US" w:eastAsia="zh-CN" w:bidi="ar-SA"/>
        </w:rPr>
        <w:t>指南意图：</w:t>
      </w:r>
      <w:r>
        <w:rPr>
          <w:rFonts w:hint="eastAsia" w:ascii="仿宋_GB2312" w:hAnsi="楷体" w:eastAsia="仿宋_GB2312" w:cs="Times New Roman"/>
          <w:kern w:val="2"/>
          <w:sz w:val="32"/>
          <w:szCs w:val="32"/>
          <w:lang w:val="en-US" w:eastAsia="zh-CN" w:bidi="ar-SA"/>
        </w:rPr>
        <w:t>（1）围绕国内外在线教育进行对比研究；（2）研究梳理在线教育质量保障的规划与机制，构建在线教育质量评价标准；（3）借鉴国外在线教育文凭认可经验，总结形成适合我国国情的在线教育文凭认证考察点、评估标准以及认证程序。</w:t>
      </w:r>
    </w:p>
    <w:p w14:paraId="45F701A6">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8. 全球主要国家国际学生全周期管理政策比较与治理创新研究（一般）</w:t>
      </w:r>
    </w:p>
    <w:p w14:paraId="6865705E">
      <w:pPr>
        <w:numPr>
          <w:ilvl w:val="-1"/>
          <w:numId w:val="0"/>
        </w:numPr>
        <w:spacing w:before="157" w:beforeLines="50" w:after="157" w:afterLines="50" w:line="240" w:lineRule="auto"/>
        <w:ind w:firstLine="641" w:firstLineChars="0"/>
        <w:rPr>
          <w:rFonts w:hint="eastAsia" w:ascii="仿宋_GB2312" w:hAnsi="楷体" w:eastAsia="仿宋_GB2312" w:cs="Times New Roman"/>
          <w:b w:val="0"/>
          <w:bCs w:val="0"/>
          <w:sz w:val="32"/>
          <w:szCs w:val="32"/>
          <w:lang w:val="en-US" w:eastAsia="zh-CN"/>
        </w:rPr>
      </w:pPr>
      <w:r>
        <w:rPr>
          <w:rFonts w:hint="eastAsia" w:ascii="仿宋_GB2312" w:hAnsi="楷体" w:eastAsia="仿宋_GB2312" w:cs="Times New Roman"/>
          <w:b w:val="0"/>
          <w:bCs w:val="0"/>
          <w:sz w:val="32"/>
          <w:szCs w:val="32"/>
        </w:rPr>
        <w:t>指南意图：（1）留学政策的核心价值取向和演变规律</w:t>
      </w:r>
      <w:r>
        <w:rPr>
          <w:rFonts w:hint="eastAsia" w:ascii="仿宋_GB2312" w:hAnsi="楷体" w:eastAsia="仿宋_GB2312" w:cs="Times New Roman"/>
          <w:b w:val="0"/>
          <w:bCs w:val="0"/>
          <w:sz w:val="32"/>
          <w:szCs w:val="32"/>
          <w:lang w:eastAsia="zh-CN"/>
        </w:rPr>
        <w:t>的国际比较研究；</w:t>
      </w:r>
      <w:r>
        <w:rPr>
          <w:rFonts w:hint="eastAsia" w:ascii="仿宋_GB2312" w:hAnsi="楷体" w:eastAsia="仿宋_GB2312" w:cs="Times New Roman"/>
          <w:b w:val="0"/>
          <w:bCs w:val="0"/>
          <w:sz w:val="32"/>
          <w:szCs w:val="32"/>
        </w:rPr>
        <w:t>（2）构建全球留学政策动态分析框架，系统评估国际学生流动主要目的国政策工具组合</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lang w:val="en-US" w:eastAsia="zh-CN"/>
        </w:rPr>
        <w:t>3</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rPr>
        <w:t>形成国际学生流动政策研究的中国范式</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rPr>
        <w:t>（</w:t>
      </w:r>
      <w:r>
        <w:rPr>
          <w:rFonts w:hint="eastAsia" w:ascii="仿宋_GB2312" w:hAnsi="楷体" w:eastAsia="仿宋_GB2312" w:cs="Times New Roman"/>
          <w:b w:val="0"/>
          <w:bCs w:val="0"/>
          <w:sz w:val="32"/>
          <w:szCs w:val="32"/>
          <w:lang w:val="en-US" w:eastAsia="zh-CN"/>
        </w:rPr>
        <w:t>4</w:t>
      </w:r>
      <w:r>
        <w:rPr>
          <w:rFonts w:hint="eastAsia" w:ascii="仿宋_GB2312" w:hAnsi="楷体" w:eastAsia="仿宋_GB2312" w:cs="Times New Roman"/>
          <w:b w:val="0"/>
          <w:bCs w:val="0"/>
          <w:sz w:val="32"/>
          <w:szCs w:val="32"/>
        </w:rPr>
        <w:t>）对美国、英国、德国、法国、日本</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lang w:val="en-US" w:eastAsia="zh-CN"/>
        </w:rPr>
        <w:t>俄罗斯</w:t>
      </w:r>
      <w:r>
        <w:rPr>
          <w:rFonts w:hint="eastAsia" w:ascii="仿宋_GB2312" w:hAnsi="楷体" w:eastAsia="仿宋_GB2312" w:cs="Times New Roman"/>
          <w:b w:val="0"/>
          <w:bCs w:val="0"/>
          <w:sz w:val="32"/>
          <w:szCs w:val="32"/>
        </w:rPr>
        <w:t>等国留学申请、签证、奖学金、学籍、教学培养、社会管理、就业等政策进行对比，提炼形成普适性国际学生流动影响因素分析体系</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lang w:val="en-US" w:eastAsia="zh-CN"/>
        </w:rPr>
        <w:t>5</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rPr>
        <w:t>构建中国特色国际学生流动治理评价指数</w:t>
      </w:r>
      <w:r>
        <w:rPr>
          <w:rFonts w:hint="eastAsia" w:ascii="仿宋_GB2312" w:hAnsi="楷体" w:eastAsia="仿宋_GB2312" w:cs="Times New Roman"/>
          <w:b w:val="0"/>
          <w:bCs w:val="0"/>
          <w:sz w:val="32"/>
          <w:szCs w:val="32"/>
          <w:lang w:eastAsia="zh-CN"/>
        </w:rPr>
        <w:t>；（</w:t>
      </w:r>
      <w:r>
        <w:rPr>
          <w:rFonts w:hint="eastAsia" w:ascii="仿宋_GB2312" w:hAnsi="楷体" w:eastAsia="仿宋_GB2312" w:cs="Times New Roman"/>
          <w:b w:val="0"/>
          <w:bCs w:val="0"/>
          <w:sz w:val="32"/>
          <w:szCs w:val="32"/>
          <w:lang w:val="en-US" w:eastAsia="zh-CN"/>
        </w:rPr>
        <w:t>6</w:t>
      </w:r>
      <w:r>
        <w:rPr>
          <w:rFonts w:hint="eastAsia" w:ascii="仿宋_GB2312" w:hAnsi="楷体" w:eastAsia="仿宋_GB2312" w:cs="Times New Roman"/>
          <w:b w:val="0"/>
          <w:bCs w:val="0"/>
          <w:sz w:val="32"/>
          <w:szCs w:val="32"/>
          <w:lang w:eastAsia="zh-CN"/>
        </w:rPr>
        <w:t>）提出</w:t>
      </w:r>
      <w:r>
        <w:rPr>
          <w:rFonts w:hint="eastAsia" w:ascii="仿宋_GB2312" w:hAnsi="楷体" w:eastAsia="仿宋_GB2312" w:cs="Times New Roman"/>
          <w:b w:val="0"/>
          <w:bCs w:val="0"/>
          <w:sz w:val="32"/>
          <w:szCs w:val="32"/>
        </w:rPr>
        <w:t>优化中国国际教育治理体系</w:t>
      </w:r>
      <w:r>
        <w:rPr>
          <w:rFonts w:hint="eastAsia" w:ascii="仿宋_GB2312" w:hAnsi="楷体" w:eastAsia="仿宋_GB2312" w:cs="Times New Roman"/>
          <w:b w:val="0"/>
          <w:bCs w:val="0"/>
          <w:sz w:val="32"/>
          <w:szCs w:val="32"/>
          <w:lang w:eastAsia="zh-CN"/>
        </w:rPr>
        <w:t>的</w:t>
      </w:r>
      <w:r>
        <w:rPr>
          <w:rFonts w:hint="eastAsia" w:ascii="仿宋_GB2312" w:hAnsi="楷体" w:eastAsia="仿宋_GB2312" w:cs="Times New Roman"/>
          <w:b w:val="0"/>
          <w:bCs w:val="0"/>
          <w:sz w:val="32"/>
          <w:szCs w:val="32"/>
        </w:rPr>
        <w:t>战略建议。</w:t>
      </w:r>
    </w:p>
    <w:p w14:paraId="2189E685">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9. 教育法典编纂过程中教材立法研究（培育）</w:t>
      </w:r>
    </w:p>
    <w:p w14:paraId="180B5FBE">
      <w:pPr>
        <w:numPr>
          <w:ilvl w:val="0"/>
          <w:numId w:val="0"/>
        </w:numPr>
        <w:spacing w:line="560" w:lineRule="exact"/>
        <w:ind w:firstLine="640" w:firstLineChars="2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指南意图：（1）阐释“教材建设国家事权”的法理意蕴；（2）论证教材专门立法的必要性和可行性；（3）研究起草《教材管理条例》；（4）形成教育法典编纂背景下教材立法的可行路径与具体操作建议。</w:t>
      </w:r>
    </w:p>
    <w:p w14:paraId="6DB152F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 xml:space="preserve">10. </w:t>
      </w:r>
      <w:bookmarkStart w:id="0" w:name="OLE_LINK1"/>
      <w:r>
        <w:rPr>
          <w:rFonts w:hint="eastAsia" w:ascii="Times New Roman" w:hAnsi="Times New Roman" w:eastAsia="楷体_GB2312" w:cs="Times New Roman"/>
          <w:b/>
          <w:bCs/>
          <w:sz w:val="32"/>
          <w:szCs w:val="32"/>
          <w:highlight w:val="none"/>
          <w:lang w:val="en-US" w:eastAsia="zh-CN"/>
        </w:rPr>
        <w:t>教育法典编纂过程中专门教育立法研究</w:t>
      </w:r>
      <w:bookmarkEnd w:id="0"/>
      <w:r>
        <w:rPr>
          <w:rFonts w:hint="eastAsia" w:ascii="Times New Roman" w:hAnsi="Times New Roman" w:eastAsia="楷体_GB2312" w:cs="Times New Roman"/>
          <w:b/>
          <w:bCs/>
          <w:sz w:val="32"/>
          <w:szCs w:val="32"/>
          <w:highlight w:val="none"/>
          <w:lang w:val="en-US" w:eastAsia="zh-CN"/>
        </w:rPr>
        <w:t>（培育）</w:t>
      </w:r>
    </w:p>
    <w:p w14:paraId="4315702E">
      <w:pPr>
        <w:numPr>
          <w:ilvl w:val="0"/>
          <w:numId w:val="0"/>
        </w:numPr>
        <w:spacing w:line="560" w:lineRule="exact"/>
        <w:ind w:firstLine="643" w:firstLineChars="2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sz w:val="32"/>
          <w:szCs w:val="32"/>
          <w:lang w:val="en-US" w:eastAsia="zh-CN"/>
        </w:rPr>
        <w:t>指南意图：</w:t>
      </w:r>
      <w:r>
        <w:rPr>
          <w:rFonts w:hint="eastAsia" w:ascii="Times New Roman" w:hAnsi="Times New Roman" w:eastAsia="仿宋_GB2312" w:cs="仿宋_GB2312"/>
          <w:b w:val="0"/>
          <w:bCs w:val="0"/>
          <w:sz w:val="32"/>
          <w:szCs w:val="32"/>
          <w:lang w:val="en-US" w:eastAsia="zh-CN"/>
        </w:rPr>
        <w:t>（1）阐释专门教育立法的价值与理论坐标；（2）分析当前专门教育制度建设存在的问题；（3）比较借鉴域外关于专门教育立法的有益经验；（4）提出教育法典编纂下专门教育立法的具体建议。</w:t>
      </w:r>
    </w:p>
    <w:p w14:paraId="4E26DD8D">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11. 教育纠纷多元化解机制研究（培育）</w:t>
      </w:r>
    </w:p>
    <w:p w14:paraId="64C7D42E">
      <w:pPr>
        <w:numPr>
          <w:ilvl w:val="0"/>
          <w:numId w:val="0"/>
        </w:numPr>
        <w:spacing w:line="560" w:lineRule="exact"/>
        <w:ind w:firstLine="643" w:firstLineChars="200"/>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指南意图：</w:t>
      </w:r>
      <w:r>
        <w:rPr>
          <w:rFonts w:hint="eastAsia" w:ascii="Times New Roman" w:hAnsi="Times New Roman" w:eastAsia="仿宋_GB2312" w:cs="仿宋_GB2312"/>
          <w:b w:val="0"/>
          <w:bCs w:val="0"/>
          <w:sz w:val="32"/>
          <w:szCs w:val="32"/>
          <w:lang w:val="en-US" w:eastAsia="zh-CN"/>
        </w:rPr>
        <w:t>（1）分析教育领域纠纷的主要类型；（2）研究现有争端解决机制的现状与问题；（3）就多元化解教育领域纠纷提出具体建议。</w:t>
      </w:r>
    </w:p>
    <w:p w14:paraId="19EFFD8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12. 高等教育行政诉讼的司法审查标准研究（培育）</w:t>
      </w:r>
    </w:p>
    <w:p w14:paraId="6F5D4A9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lang w:val="en-US" w:eastAsia="zh-CN"/>
        </w:rPr>
        <w:t>指南意图：</w:t>
      </w:r>
      <w:r>
        <w:rPr>
          <w:rFonts w:hint="eastAsia" w:ascii="Times New Roman" w:hAnsi="Times New Roman" w:eastAsia="仿宋_GB2312" w:cs="仿宋_GB2312"/>
          <w:b w:val="0"/>
          <w:bCs w:val="0"/>
          <w:sz w:val="32"/>
          <w:szCs w:val="32"/>
          <w:lang w:val="en-US" w:eastAsia="zh-CN"/>
        </w:rPr>
        <w:t>（1）阐释高等教育行政诉讼司法裁量标准的特殊性；（2）构建具有中国特色的高等教育学术自治和高等教育司法监督的理论；（3）构建体系化的高等教育行政诉讼司法裁量标准。</w:t>
      </w:r>
    </w:p>
    <w:p w14:paraId="7E2F340E">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13. 维护教师职业尊严和合法权益体制机制研究（培育）</w:t>
      </w:r>
    </w:p>
    <w:p w14:paraId="174D0688">
      <w:pPr>
        <w:ind w:firstLine="64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阐释教师职业尊严和教师合法权益的基本内涵、相互关系、原则、理念；（2）分析侵犯教师职业尊严和合法权益的基本行为类型；（3）总结当前维护教师职业尊严和合法权益体制机制存在的问题；（4）教师权益救济制度的整合优化及教师法中相关条款的完善；（5）提出完善相关体制机制和法律条款的具体对策建议。</w:t>
      </w:r>
    </w:p>
    <w:p w14:paraId="56159F95">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14. 学校法治工作的标准化体系化研究（培育）</w:t>
      </w:r>
    </w:p>
    <w:p w14:paraId="2DB70F50">
      <w:pPr>
        <w:numPr>
          <w:ilvl w:val="0"/>
          <w:numId w:val="0"/>
        </w:numPr>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阐释学校法治工作的内容、原理、原则及其在学校治理中的地位和作用；（2）提出完善学校法治工作指标体系的意见建议；（3）阐明学校法治工作标准化建设的路径与方法；（4）建立学校法治工作体系化的框架与运行机制。</w:t>
      </w:r>
    </w:p>
    <w:p w14:paraId="1CCC08F9">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15. 数字化背景下青少年法治教育的创新模式与评估体系研究（培育）</w:t>
      </w:r>
    </w:p>
    <w:p w14:paraId="3845BFF4">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论证在青少年法治教育中应用数字化技术的必要性和可行性；（2）比较借鉴域外青少年法治教育的数字化有益经验；（3）立足现实情况与未来发展需要创新设计数字化青少年法治教育模式；（4）基于创新教育模式建立包括评估指标、工具、方法、结果应用、保障机制等内容在内的青少年法治教育评估体系。</w:t>
      </w:r>
    </w:p>
    <w:p w14:paraId="018BA11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16. 学校法律风险防范体系研究（培育）</w:t>
      </w:r>
    </w:p>
    <w:p w14:paraId="190CAC8B">
      <w:pPr>
        <w:numPr>
          <w:ilvl w:val="0"/>
          <w:numId w:val="0"/>
        </w:numPr>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指南意图：</w:t>
      </w:r>
      <w:r>
        <w:rPr>
          <w:rFonts w:hint="eastAsia" w:ascii="仿宋_GB2312" w:hAnsi="仿宋_GB2312" w:eastAsia="仿宋_GB2312" w:cs="仿宋_GB2312"/>
          <w:b w:val="0"/>
          <w:bCs w:val="0"/>
          <w:sz w:val="32"/>
          <w:szCs w:val="32"/>
          <w:lang w:val="en-US" w:eastAsia="zh-CN"/>
        </w:rPr>
        <w:t>（1）梳理学校管理全流程法律风险类型；（2）梳理学校法律风险防控存在的突出问题；（3）比较借鉴域外风险防控制度经验；（4）构建具有中国特色的学校法律风险预防性法律保障机制。</w:t>
      </w:r>
    </w:p>
    <w:p w14:paraId="3153F53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17. 中国留学生境外保障机制研究（培育）</w:t>
      </w:r>
    </w:p>
    <w:p w14:paraId="5F14670C">
      <w:pPr>
        <w:ind w:firstLine="643" w:firstLineChars="200"/>
        <w:rPr>
          <w:rFonts w:hint="eastAsia" w:ascii="Times New Roman" w:hAnsi="Times New Roman" w:eastAsia="仿宋_GB2312" w:cs="仿宋_GB2312"/>
          <w:b w:val="0"/>
          <w:bCs w:val="0"/>
          <w:sz w:val="32"/>
          <w:szCs w:val="32"/>
        </w:rPr>
      </w:pPr>
      <w:r>
        <w:rPr>
          <w:rFonts w:ascii="楷体_GB2312" w:hAnsi="楷体_GB2312" w:eastAsia="楷体_GB2312" w:cs="楷体_GB2312"/>
          <w:b/>
          <w:bCs/>
          <w:sz w:val="32"/>
          <w:szCs w:val="32"/>
        </w:rPr>
        <w:t>指南意图：</w:t>
      </w:r>
      <w:r>
        <w:rPr>
          <w:rFonts w:ascii="仿宋_GB2312" w:hAnsi="楷体" w:eastAsia="仿宋_GB2312" w:cs="Times New Roman"/>
          <w:sz w:val="32"/>
          <w:szCs w:val="32"/>
        </w:rPr>
        <w:t>（1）</w:t>
      </w:r>
      <w:r>
        <w:rPr>
          <w:rFonts w:hint="eastAsia" w:ascii="仿宋_GB2312" w:hAnsi="楷体" w:eastAsia="仿宋_GB2312" w:cs="Times New Roman"/>
          <w:sz w:val="32"/>
          <w:szCs w:val="32"/>
          <w:lang w:val="en-US" w:eastAsia="zh-CN"/>
        </w:rPr>
        <w:t>分析</w:t>
      </w:r>
      <w:r>
        <w:rPr>
          <w:rFonts w:hint="eastAsia" w:ascii="仿宋_GB2312" w:hAnsi="楷体" w:eastAsia="仿宋_GB2312" w:cs="Times New Roman"/>
          <w:sz w:val="32"/>
          <w:szCs w:val="32"/>
        </w:rPr>
        <w:t>境外留学人员的安全需求</w:t>
      </w:r>
      <w:r>
        <w:rPr>
          <w:rFonts w:hint="eastAsia" w:ascii="仿宋_GB2312" w:hAnsi="楷体" w:eastAsia="仿宋_GB2312" w:cs="Times New Roman"/>
          <w:sz w:val="32"/>
          <w:szCs w:val="32"/>
          <w:lang w:eastAsia="zh-CN"/>
        </w:rPr>
        <w:t>；</w:t>
      </w:r>
      <w:r>
        <w:rPr>
          <w:rFonts w:hint="eastAsia" w:ascii="仿宋_GB2312" w:hAnsi="楷体" w:eastAsia="仿宋_GB2312" w:cs="Times New Roman"/>
          <w:sz w:val="32"/>
          <w:szCs w:val="32"/>
        </w:rPr>
        <w:t>（2）梳理影响留学人员学业完成的因素</w:t>
      </w:r>
      <w:r>
        <w:rPr>
          <w:rFonts w:hint="eastAsia" w:ascii="仿宋_GB2312" w:hAnsi="楷体" w:eastAsia="仿宋_GB2312" w:cs="Times New Roman"/>
          <w:sz w:val="32"/>
          <w:szCs w:val="32"/>
          <w:lang w:eastAsia="zh-CN"/>
        </w:rPr>
        <w:t>；</w:t>
      </w:r>
      <w:r>
        <w:rPr>
          <w:rFonts w:hint="eastAsia" w:ascii="仿宋_GB2312" w:hAnsi="楷体" w:eastAsia="仿宋_GB2312" w:cs="Times New Roman"/>
          <w:sz w:val="32"/>
          <w:szCs w:val="32"/>
        </w:rPr>
        <w:t>（3）</w:t>
      </w:r>
      <w:r>
        <w:rPr>
          <w:rFonts w:hint="eastAsia" w:ascii="仿宋_GB2312" w:hAnsi="楷体" w:eastAsia="仿宋_GB2312" w:cs="Times New Roman"/>
          <w:sz w:val="32"/>
          <w:szCs w:val="32"/>
          <w:lang w:val="en-US" w:eastAsia="zh-CN"/>
        </w:rPr>
        <w:t>梳理分析</w:t>
      </w:r>
      <w:r>
        <w:rPr>
          <w:rFonts w:hint="eastAsia" w:ascii="仿宋_GB2312" w:hAnsi="楷体" w:eastAsia="仿宋_GB2312" w:cs="Times New Roman"/>
          <w:sz w:val="32"/>
          <w:szCs w:val="32"/>
        </w:rPr>
        <w:t>留学人员安全事件及受不公对待案例</w:t>
      </w:r>
      <w:r>
        <w:rPr>
          <w:rFonts w:hint="eastAsia" w:ascii="仿宋_GB2312" w:hAnsi="楷体" w:eastAsia="仿宋_GB2312" w:cs="Times New Roman"/>
          <w:sz w:val="32"/>
          <w:szCs w:val="32"/>
          <w:lang w:eastAsia="zh-CN"/>
        </w:rPr>
        <w:t>；</w:t>
      </w:r>
      <w:r>
        <w:rPr>
          <w:rFonts w:hint="eastAsia" w:ascii="仿宋_GB2312" w:hAnsi="楷体" w:eastAsia="仿宋_GB2312" w:cs="Times New Roman"/>
          <w:sz w:val="32"/>
          <w:szCs w:val="32"/>
        </w:rPr>
        <w:t>（4）探究需求和因素背后的深层原因</w:t>
      </w:r>
      <w:r>
        <w:rPr>
          <w:rFonts w:hint="eastAsia" w:ascii="仿宋_GB2312" w:hAnsi="楷体" w:eastAsia="仿宋_GB2312" w:cs="Times New Roman"/>
          <w:sz w:val="32"/>
          <w:szCs w:val="32"/>
          <w:lang w:eastAsia="zh-CN"/>
        </w:rPr>
        <w:t>；</w:t>
      </w:r>
      <w:r>
        <w:rPr>
          <w:rFonts w:hint="eastAsia" w:ascii="仿宋_GB2312" w:hAnsi="楷体" w:eastAsia="仿宋_GB2312" w:cs="Times New Roman"/>
          <w:sz w:val="32"/>
          <w:szCs w:val="32"/>
        </w:rPr>
        <w:t>（5）</w:t>
      </w:r>
      <w:r>
        <w:rPr>
          <w:rFonts w:hint="eastAsia" w:ascii="仿宋_GB2312" w:hAnsi="楷体" w:eastAsia="仿宋_GB2312" w:cs="Times New Roman"/>
          <w:sz w:val="32"/>
          <w:szCs w:val="32"/>
          <w:lang w:val="en-US" w:eastAsia="zh-CN"/>
        </w:rPr>
        <w:t>对比国外经验和实践要求，提高</w:t>
      </w:r>
      <w:r>
        <w:rPr>
          <w:rFonts w:hint="eastAsia" w:ascii="仿宋_GB2312" w:hAnsi="楷体" w:eastAsia="仿宋_GB2312" w:cs="Times New Roman"/>
          <w:sz w:val="32"/>
          <w:szCs w:val="32"/>
        </w:rPr>
        <w:t>留学人员</w:t>
      </w:r>
      <w:r>
        <w:rPr>
          <w:rFonts w:hint="eastAsia" w:ascii="Times New Roman" w:hAnsi="Times New Roman" w:eastAsia="仿宋_GB2312" w:cs="仿宋_GB2312"/>
          <w:sz w:val="32"/>
          <w:szCs w:val="32"/>
        </w:rPr>
        <w:t>安全、法律保障机制、心理支持机制、防骗反诈机制</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lang w:val="en-US" w:eastAsia="zh-CN"/>
        </w:rPr>
        <w:t>建议</w:t>
      </w:r>
      <w:r>
        <w:rPr>
          <w:rFonts w:hint="eastAsia" w:ascii="Times New Roman" w:hAnsi="Times New Roman" w:eastAsia="仿宋_GB2312" w:cs="仿宋_GB2312"/>
          <w:sz w:val="32"/>
          <w:szCs w:val="32"/>
          <w:lang w:eastAsia="zh-CN"/>
        </w:rPr>
        <w:t>。</w:t>
      </w:r>
    </w:p>
    <w:p w14:paraId="3222A24A">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18. 海外办学的法律风险防范与应对研究（培育）</w:t>
      </w:r>
    </w:p>
    <w:p w14:paraId="5415DC83">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val="0"/>
          <w:bCs w:val="0"/>
          <w:sz w:val="32"/>
          <w:szCs w:val="32"/>
          <w:highlight w:val="none"/>
          <w:lang w:val="en-US" w:eastAsia="zh-CN"/>
        </w:rPr>
      </w:pPr>
      <w:r>
        <w:rPr>
          <w:rFonts w:ascii="楷体_GB2312" w:hAnsi="楷体_GB2312" w:eastAsia="楷体_GB2312" w:cs="楷体_GB2312"/>
          <w:b/>
          <w:bCs/>
          <w:sz w:val="32"/>
          <w:szCs w:val="32"/>
        </w:rPr>
        <w:t>指南意图：</w:t>
      </w:r>
      <w:r>
        <w:rPr>
          <w:rFonts w:hint="eastAsia" w:ascii="Times New Roman" w:hAnsi="Times New Roman" w:eastAsia="仿宋_GB2312" w:cs="仿宋_GB2312"/>
          <w:b w:val="0"/>
          <w:bCs w:val="0"/>
          <w:sz w:val="32"/>
          <w:szCs w:val="32"/>
        </w:rPr>
        <w:t>（1）梳理海外办学法律风险点；（2）调研高等学校境外办学现状；（3）海外办学法律实践案例</w:t>
      </w:r>
      <w:r>
        <w:rPr>
          <w:rFonts w:hint="eastAsia" w:ascii="Times New Roman" w:hAnsi="Times New Roman" w:eastAsia="仿宋_GB2312" w:cs="仿宋_GB2312"/>
          <w:b w:val="0"/>
          <w:bCs w:val="0"/>
          <w:sz w:val="32"/>
          <w:szCs w:val="32"/>
          <w:lang w:eastAsia="zh-CN"/>
        </w:rPr>
        <w:t>研究</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仿宋_GB2312"/>
          <w:b w:val="0"/>
          <w:bCs w:val="0"/>
          <w:sz w:val="32"/>
          <w:szCs w:val="32"/>
        </w:rPr>
        <w:t>）基于国别</w:t>
      </w:r>
      <w:r>
        <w:rPr>
          <w:rFonts w:hint="eastAsia" w:ascii="Times New Roman" w:hAnsi="Times New Roman" w:eastAsia="仿宋_GB2312" w:cs="仿宋_GB2312"/>
          <w:b w:val="0"/>
          <w:bCs w:val="0"/>
          <w:sz w:val="32"/>
          <w:szCs w:val="32"/>
          <w:lang w:eastAsia="zh-CN"/>
        </w:rPr>
        <w:t>的</w:t>
      </w:r>
      <w:r>
        <w:rPr>
          <w:rFonts w:hint="eastAsia" w:ascii="Times New Roman" w:hAnsi="Times New Roman" w:eastAsia="仿宋_GB2312" w:cs="仿宋_GB2312"/>
          <w:b w:val="0"/>
          <w:bCs w:val="0"/>
          <w:sz w:val="32"/>
          <w:szCs w:val="32"/>
        </w:rPr>
        <w:t>海外办学可能面临的主要法律风险类型领域</w:t>
      </w:r>
      <w:r>
        <w:rPr>
          <w:rFonts w:hint="eastAsia" w:ascii="Times New Roman" w:hAnsi="Times New Roman" w:eastAsia="仿宋_GB2312" w:cs="仿宋_GB2312"/>
          <w:b w:val="0"/>
          <w:bCs w:val="0"/>
          <w:sz w:val="32"/>
          <w:szCs w:val="32"/>
          <w:lang w:eastAsia="zh-CN"/>
        </w:rPr>
        <w:t>研究</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rPr>
        <w:t>）高等教育海外办学高质量发展</w:t>
      </w:r>
      <w:r>
        <w:rPr>
          <w:rFonts w:hint="eastAsia" w:ascii="Times New Roman" w:hAnsi="Times New Roman" w:eastAsia="仿宋_GB2312" w:cs="仿宋_GB2312"/>
          <w:b w:val="0"/>
          <w:bCs w:val="0"/>
          <w:sz w:val="32"/>
          <w:szCs w:val="32"/>
          <w:lang w:val="en-US" w:eastAsia="zh-CN"/>
        </w:rPr>
        <w:t>的风险</w:t>
      </w:r>
      <w:r>
        <w:rPr>
          <w:rFonts w:hint="eastAsia" w:ascii="Times New Roman" w:hAnsi="Times New Roman" w:eastAsia="仿宋_GB2312" w:cs="仿宋_GB2312"/>
          <w:b w:val="0"/>
          <w:bCs w:val="0"/>
          <w:sz w:val="32"/>
          <w:szCs w:val="32"/>
        </w:rPr>
        <w:t>防范策略</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防范体系</w:t>
      </w:r>
      <w:r>
        <w:rPr>
          <w:rFonts w:hint="eastAsia" w:ascii="Times New Roman" w:hAnsi="Times New Roman" w:eastAsia="仿宋_GB2312" w:cs="仿宋_GB2312"/>
          <w:b w:val="0"/>
          <w:bCs w:val="0"/>
          <w:sz w:val="32"/>
          <w:szCs w:val="32"/>
          <w:lang w:val="en-US" w:eastAsia="zh-CN"/>
        </w:rPr>
        <w:t>及</w:t>
      </w:r>
      <w:r>
        <w:rPr>
          <w:rFonts w:hint="eastAsia" w:ascii="Times New Roman" w:hAnsi="Times New Roman" w:eastAsia="仿宋_GB2312" w:cs="仿宋_GB2312"/>
          <w:b w:val="0"/>
          <w:bCs w:val="0"/>
          <w:sz w:val="32"/>
          <w:szCs w:val="32"/>
        </w:rPr>
        <w:t>应对机制</w:t>
      </w:r>
      <w:r>
        <w:rPr>
          <w:rFonts w:hint="eastAsia" w:ascii="Times New Roman" w:hAnsi="Times New Roman" w:eastAsia="仿宋_GB2312" w:cs="仿宋_GB2312"/>
          <w:b w:val="0"/>
          <w:bCs w:val="0"/>
          <w:sz w:val="32"/>
          <w:szCs w:val="32"/>
          <w:lang w:eastAsia="zh-CN"/>
        </w:rPr>
        <w:t>研究</w:t>
      </w:r>
      <w:r>
        <w:rPr>
          <w:rFonts w:hint="eastAsia" w:ascii="Times New Roman" w:hAnsi="Times New Roman" w:eastAsia="仿宋_GB2312" w:cs="仿宋_GB2312"/>
          <w:b w:val="0"/>
          <w:bCs w:val="0"/>
          <w:sz w:val="32"/>
          <w:szCs w:val="32"/>
        </w:rPr>
        <w:t>。</w:t>
      </w:r>
    </w:p>
    <w:p w14:paraId="38D344E2">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19. 来华留学的准入、评价与服务机制研究（培育）</w:t>
      </w:r>
    </w:p>
    <w:p w14:paraId="58E3EC80">
      <w:pPr>
        <w:numPr>
          <w:ilvl w:val="0"/>
          <w:numId w:val="0"/>
        </w:numPr>
        <w:spacing w:line="560" w:lineRule="exact"/>
        <w:ind w:firstLine="643" w:firstLineChars="200"/>
        <w:rPr>
          <w:rFonts w:hint="default" w:ascii="Times New Roman" w:hAnsi="Times New Roman" w:eastAsia="仿宋_GB2312" w:cs="仿宋_GB2312"/>
          <w:sz w:val="32"/>
          <w:szCs w:val="32"/>
          <w:lang w:val="en-US" w:eastAsia="zh-CN"/>
        </w:rPr>
      </w:pPr>
      <w:r>
        <w:rPr>
          <w:rFonts w:ascii="楷体_GB2312" w:hAnsi="楷体_GB2312" w:eastAsia="楷体_GB2312" w:cs="楷体_GB2312"/>
          <w:b/>
          <w:bCs/>
          <w:sz w:val="32"/>
          <w:szCs w:val="32"/>
        </w:rPr>
        <w:t>指南意图：</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聚焦留学的准入、评价与服务三个方面开展调研</w:t>
      </w:r>
      <w:r>
        <w:rPr>
          <w:rFonts w:hint="eastAsia" w:ascii="Times New Roman" w:hAnsi="Times New Roman" w:eastAsia="仿宋_GB2312" w:cs="仿宋_GB2312"/>
          <w:sz w:val="32"/>
          <w:szCs w:val="32"/>
          <w:lang w:eastAsia="zh-CN"/>
        </w:rPr>
        <w:t>和国际比较</w:t>
      </w:r>
      <w:r>
        <w:rPr>
          <w:rFonts w:hint="eastAsia" w:ascii="Times New Roman" w:hAnsi="Times New Roman" w:eastAsia="仿宋_GB2312" w:cs="仿宋_GB2312"/>
          <w:sz w:val="32"/>
          <w:szCs w:val="32"/>
        </w:rPr>
        <w:t>研究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）对</w:t>
      </w:r>
      <w:r>
        <w:rPr>
          <w:rFonts w:hint="eastAsia" w:ascii="Times New Roman" w:hAnsi="Times New Roman" w:eastAsia="仿宋_GB2312" w:cs="仿宋_GB2312"/>
          <w:sz w:val="32"/>
          <w:szCs w:val="32"/>
        </w:rPr>
        <w:t>来华留学相关各方</w:t>
      </w:r>
      <w:r>
        <w:rPr>
          <w:rFonts w:hint="eastAsia" w:ascii="Times New Roman" w:hAnsi="Times New Roman" w:eastAsia="仿宋_GB2312" w:cs="仿宋_GB2312"/>
          <w:sz w:val="32"/>
          <w:szCs w:val="32"/>
          <w:lang w:eastAsia="zh-CN"/>
        </w:rPr>
        <w:t>调研</w:t>
      </w:r>
      <w:r>
        <w:rPr>
          <w:rFonts w:hint="eastAsia" w:ascii="Times New Roman" w:hAnsi="Times New Roman" w:eastAsia="仿宋_GB2312" w:cs="仿宋_GB2312"/>
          <w:sz w:val="32"/>
          <w:szCs w:val="32"/>
        </w:rPr>
        <w:t>来华留学存在</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问题、不足与挑战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提出</w:t>
      </w:r>
      <w:r>
        <w:rPr>
          <w:rFonts w:hint="eastAsia" w:ascii="Times New Roman" w:hAnsi="Times New Roman" w:eastAsia="仿宋_GB2312" w:cs="仿宋_GB2312"/>
          <w:sz w:val="32"/>
          <w:szCs w:val="32"/>
          <w:lang w:val="en-US" w:eastAsia="zh-CN"/>
        </w:rPr>
        <w:t>优化来华留学准入机制、评价体系、留学体验的对策建议。</w:t>
      </w:r>
    </w:p>
    <w:p w14:paraId="6576652F">
      <w:pPr>
        <w:keepNext w:val="0"/>
        <w:keepLines w:val="0"/>
        <w:pageBreakBefore w:val="0"/>
        <w:widowControl/>
        <w:numPr>
          <w:ilvl w:val="0"/>
          <w:numId w:val="0"/>
        </w:numPr>
        <w:kinsoku/>
        <w:wordWrap/>
        <w:overflowPunct/>
        <w:topLinePunct w:val="0"/>
        <w:autoSpaceDE/>
        <w:autoSpaceDN/>
        <w:bidi w:val="0"/>
        <w:adjustRightInd/>
        <w:snapToGrid/>
        <w:spacing w:before="0" w:beforeLines="-2147483648" w:after="0" w:afterLines="-2147483648" w:line="560" w:lineRule="exact"/>
        <w:ind w:firstLine="643" w:firstLineChars="200"/>
        <w:textAlignment w:val="auto"/>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20. 建设具有全球影响力的重要教育中心的保障体系研究（培育）</w:t>
      </w:r>
    </w:p>
    <w:p w14:paraId="4A350A8F">
      <w:pPr>
        <w:ind w:firstLine="640"/>
        <w:rPr>
          <w:rFonts w:hint="eastAsia" w:ascii="Times New Roman" w:hAnsi="Times New Roman" w:eastAsia="仿宋_GB2312" w:cs="仿宋_GB2312"/>
          <w:sz w:val="32"/>
          <w:szCs w:val="32"/>
          <w:highlight w:val="none"/>
        </w:rPr>
      </w:pPr>
      <w:r>
        <w:rPr>
          <w:rFonts w:hint="eastAsia" w:ascii="Times New Roman" w:hAnsi="Times New Roman" w:eastAsia="楷体_GB2312" w:cs="Times New Roman"/>
          <w:b/>
          <w:bCs/>
          <w:sz w:val="32"/>
          <w:szCs w:val="32"/>
          <w:highlight w:val="none"/>
          <w:lang w:val="en-US" w:eastAsia="zh-CN"/>
        </w:rPr>
        <w:t>指南意图：</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梳理建设全球重要教育中心过程中涉及的法律政策问题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分析国际上设立教育类国际组织的法律政策框架</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围绕当前在</w:t>
      </w:r>
      <w:r>
        <w:rPr>
          <w:rFonts w:hint="eastAsia" w:ascii="Times New Roman" w:hAnsi="Times New Roman" w:eastAsia="仿宋_GB2312" w:cs="仿宋_GB2312"/>
          <w:sz w:val="32"/>
          <w:szCs w:val="32"/>
          <w:highlight w:val="none"/>
        </w:rPr>
        <w:t>我国设立全球教育类国际组织</w:t>
      </w:r>
      <w:r>
        <w:rPr>
          <w:rFonts w:hint="eastAsia" w:ascii="Times New Roman" w:hAnsi="Times New Roman" w:eastAsia="仿宋_GB2312" w:cs="仿宋_GB2312"/>
          <w:sz w:val="32"/>
          <w:szCs w:val="32"/>
          <w:highlight w:val="none"/>
          <w:lang w:val="en-US" w:eastAsia="zh-CN"/>
        </w:rPr>
        <w:t>开展法律政策分析研究</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提出针对性的解决方案。</w:t>
      </w:r>
    </w:p>
    <w:p w14:paraId="21872A3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ascii="Times New Roman" w:hAnsi="Times New Roman"/>
          <w:b/>
          <w:bCs/>
        </w:rPr>
      </w:pPr>
      <w:r>
        <w:rPr>
          <w:rFonts w:hint="eastAsia" w:ascii="Times New Roman" w:hAnsi="Times New Roman" w:eastAsia="楷体_GB2312" w:cs="Times New Roman"/>
          <w:b/>
          <w:bCs/>
          <w:sz w:val="32"/>
          <w:szCs w:val="32"/>
          <w:highlight w:val="none"/>
          <w:lang w:val="en-US" w:eastAsia="zh-CN"/>
        </w:rPr>
        <w:t>21. 中国教育国际标准的研制与推广机制研究（培育）</w:t>
      </w:r>
    </w:p>
    <w:p w14:paraId="72B367EB">
      <w:pPr>
        <w:ind w:firstLine="640" w:firstLineChars="0"/>
        <w:rPr>
          <w:rFonts w:hint="eastAsia" w:ascii="Times New Roman" w:hAnsi="Times New Roman" w:eastAsia="仿宋_GB2312" w:cs="仿宋_GB2312"/>
          <w:b w:val="0"/>
          <w:bCs w:val="0"/>
          <w:sz w:val="32"/>
          <w:szCs w:val="32"/>
          <w:highlight w:val="none"/>
        </w:rPr>
      </w:pPr>
      <w:r>
        <w:rPr>
          <w:rFonts w:hint="eastAsia" w:ascii="Times New Roman" w:hAnsi="Times New Roman" w:eastAsia="楷体_GB2312" w:cs="Times New Roman"/>
          <w:b/>
          <w:bCs/>
          <w:sz w:val="32"/>
          <w:szCs w:val="32"/>
          <w:highlight w:val="none"/>
          <w:lang w:val="en-US" w:eastAsia="zh-CN"/>
        </w:rPr>
        <w:t>指南意图：</w:t>
      </w:r>
      <w:r>
        <w:rPr>
          <w:rFonts w:hint="eastAsia" w:ascii="Times New Roman" w:hAnsi="Times New Roman" w:eastAsia="仿宋_GB2312" w:cs="仿宋_GB2312"/>
          <w:b w:val="0"/>
          <w:bCs w:val="0"/>
          <w:sz w:val="32"/>
          <w:szCs w:val="32"/>
          <w:highlight w:val="none"/>
          <w:lang w:val="en-US" w:eastAsia="zh-CN"/>
        </w:rPr>
        <w:t>（1）分析各级各类教育中国际标准涉及的要素、领域、维度、内涵等；（2）调研中国高等教育标准国际化的发展现状；（3）总结国际优秀做法与先进经验；（4）提出中国教育国际标准研制建议以及标准体系构建建议；（5）提出相应的一揽子推广建议与方案。</w:t>
      </w:r>
    </w:p>
    <w:p w14:paraId="16DAF9AA">
      <w:pPr>
        <w:numPr>
          <w:ilvl w:val="0"/>
          <w:numId w:val="0"/>
        </w:numPr>
        <w:ind w:firstLine="643" w:firstLineChars="200"/>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22.国（境）外低质量学位学历的法律和治理机制研究（培育）</w:t>
      </w:r>
    </w:p>
    <w:p w14:paraId="7F33352A">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仿宋_GB2312" w:hAnsi="楷体" w:eastAsia="仿宋_GB2312" w:cs="Times New Roman"/>
          <w:kern w:val="2"/>
          <w:sz w:val="32"/>
          <w:szCs w:val="32"/>
          <w:lang w:val="en-US" w:eastAsia="zh-CN" w:bidi="ar-SA"/>
        </w:rPr>
      </w:pPr>
      <w:r>
        <w:rPr>
          <w:rFonts w:hint="eastAsia" w:ascii="Times New Roman" w:hAnsi="Times New Roman" w:eastAsia="楷体_GB2312" w:cs="Times New Roman"/>
          <w:b/>
          <w:bCs/>
          <w:sz w:val="32"/>
          <w:szCs w:val="32"/>
          <w:highlight w:val="none"/>
          <w:lang w:val="en-US" w:eastAsia="zh-CN"/>
        </w:rPr>
        <w:t>指南意图：</w:t>
      </w:r>
      <w:r>
        <w:rPr>
          <w:rFonts w:hint="eastAsia" w:ascii="仿宋_GB2312" w:hAnsi="楷体" w:eastAsia="仿宋_GB2312" w:cs="Times New Roman"/>
          <w:kern w:val="2"/>
          <w:sz w:val="32"/>
          <w:szCs w:val="32"/>
          <w:lang w:val="en-US" w:eastAsia="zh-CN" w:bidi="ar-SA"/>
        </w:rPr>
        <w:t>（1）研究</w:t>
      </w:r>
      <w:r>
        <w:rPr>
          <w:rFonts w:hint="eastAsia" w:ascii="仿宋_GB2312" w:hAnsi="楷体" w:eastAsia="仿宋_GB2312" w:cs="Times New Roman"/>
          <w:kern w:val="2"/>
          <w:sz w:val="32"/>
          <w:szCs w:val="32"/>
          <w:lang w:val="en-US" w:eastAsia="zh-Hans" w:bidi="ar-SA"/>
        </w:rPr>
        <w:t>低质量学历学位的认定以及现有的法律基础</w:t>
      </w:r>
      <w:r>
        <w:rPr>
          <w:rFonts w:hint="eastAsia" w:ascii="仿宋_GB2312" w:hAnsi="楷体" w:eastAsia="仿宋_GB2312" w:cs="Times New Roman"/>
          <w:kern w:val="2"/>
          <w:sz w:val="32"/>
          <w:szCs w:val="32"/>
          <w:lang w:val="en-US" w:eastAsia="zh-CN" w:bidi="ar-SA"/>
        </w:rPr>
        <w:t>；（2）</w:t>
      </w:r>
      <w:r>
        <w:rPr>
          <w:rFonts w:hint="eastAsia" w:ascii="仿宋_GB2312" w:hAnsi="楷体" w:eastAsia="仿宋_GB2312" w:cs="Times New Roman"/>
          <w:kern w:val="2"/>
          <w:sz w:val="32"/>
          <w:szCs w:val="32"/>
          <w:lang w:val="en-US" w:eastAsia="zh-Hans" w:bidi="ar-SA"/>
        </w:rPr>
        <w:t>分析</w:t>
      </w:r>
      <w:r>
        <w:rPr>
          <w:rFonts w:hint="eastAsia" w:ascii="仿宋_GB2312" w:hAnsi="楷体" w:eastAsia="仿宋_GB2312" w:cs="Times New Roman"/>
          <w:kern w:val="2"/>
          <w:sz w:val="32"/>
          <w:szCs w:val="32"/>
          <w:lang w:val="en-US" w:eastAsia="zh-CN" w:bidi="ar-SA"/>
        </w:rPr>
        <w:t>低质量文凭课程</w:t>
      </w:r>
      <w:r>
        <w:rPr>
          <w:rFonts w:hint="eastAsia" w:ascii="仿宋_GB2312" w:hAnsi="楷体" w:eastAsia="仿宋_GB2312" w:cs="Times New Roman"/>
          <w:kern w:val="2"/>
          <w:sz w:val="32"/>
          <w:szCs w:val="32"/>
          <w:lang w:val="en-US" w:eastAsia="zh-Hans" w:bidi="ar-SA"/>
        </w:rPr>
        <w:t>治理的现状及存在的问题</w:t>
      </w:r>
      <w:r>
        <w:rPr>
          <w:rFonts w:hint="eastAsia" w:ascii="仿宋_GB2312" w:hAnsi="楷体" w:eastAsia="仿宋_GB2312" w:cs="Times New Roman"/>
          <w:kern w:val="2"/>
          <w:sz w:val="32"/>
          <w:szCs w:val="32"/>
          <w:lang w:val="en-US" w:eastAsia="zh-CN" w:bidi="ar-SA"/>
        </w:rPr>
        <w:t>；（3）研究</w:t>
      </w:r>
      <w:r>
        <w:rPr>
          <w:rFonts w:hint="eastAsia" w:ascii="仿宋_GB2312" w:hAnsi="楷体" w:eastAsia="仿宋_GB2312" w:cs="Times New Roman"/>
          <w:b w:val="0"/>
          <w:bCs w:val="0"/>
          <w:sz w:val="32"/>
          <w:szCs w:val="32"/>
          <w:highlight w:val="none"/>
          <w:lang w:val="en-US" w:eastAsia="zh-Hans"/>
        </w:rPr>
        <w:t>低质量学位学历的</w:t>
      </w:r>
      <w:r>
        <w:rPr>
          <w:rFonts w:hint="eastAsia" w:ascii="仿宋_GB2312" w:hAnsi="楷体" w:eastAsia="仿宋_GB2312" w:cs="Times New Roman"/>
          <w:kern w:val="2"/>
          <w:sz w:val="32"/>
          <w:szCs w:val="32"/>
          <w:lang w:val="en-US" w:eastAsia="zh-Hans" w:bidi="ar-SA"/>
        </w:rPr>
        <w:t>国外治理经验</w:t>
      </w:r>
      <w:r>
        <w:rPr>
          <w:rFonts w:hint="eastAsia" w:ascii="仿宋_GB2312" w:hAnsi="楷体" w:eastAsia="仿宋_GB2312" w:cs="Times New Roman"/>
          <w:kern w:val="2"/>
          <w:sz w:val="32"/>
          <w:szCs w:val="32"/>
          <w:lang w:val="en-US" w:eastAsia="zh-CN" w:bidi="ar-SA"/>
        </w:rPr>
        <w:t>；（4）提出完善低质文凭课程从识别、考察、认证建议、综合治理到风险化解的全链条工作机制和相关法律的建议。</w:t>
      </w:r>
    </w:p>
    <w:p w14:paraId="188E8537">
      <w:pPr>
        <w:ind w:firstLine="640"/>
        <w:rPr>
          <w:rFonts w:ascii="Times New Roman" w:hAnsi="Times New Roman"/>
          <w:b/>
          <w:bCs/>
        </w:rPr>
      </w:pPr>
      <w:r>
        <w:rPr>
          <w:rFonts w:hint="eastAsia" w:ascii="Times New Roman" w:hAnsi="Times New Roman" w:eastAsia="楷体_GB2312" w:cs="Times New Roman"/>
          <w:b/>
          <w:bCs/>
          <w:sz w:val="32"/>
          <w:szCs w:val="32"/>
          <w:highlight w:val="none"/>
          <w:lang w:val="en-US" w:eastAsia="zh-CN"/>
        </w:rPr>
        <w:t>23. 国外学位认证的法律基础研究（培育）</w:t>
      </w:r>
    </w:p>
    <w:p w14:paraId="6E308CF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仿宋_GB2312" w:hAnsi="楷体" w:eastAsia="仿宋_GB2312" w:cs="Times New Roman"/>
          <w:kern w:val="2"/>
          <w:sz w:val="32"/>
          <w:szCs w:val="32"/>
          <w:lang w:val="en-US" w:eastAsia="zh-CN" w:bidi="ar-SA"/>
        </w:rPr>
      </w:pPr>
      <w:r>
        <w:rPr>
          <w:rFonts w:hint="eastAsia" w:ascii="Times New Roman" w:hAnsi="Times New Roman" w:eastAsia="楷体_GB2312" w:cs="Times New Roman"/>
          <w:b/>
          <w:bCs/>
          <w:sz w:val="32"/>
          <w:szCs w:val="32"/>
          <w:highlight w:val="none"/>
          <w:lang w:val="en-US" w:eastAsia="zh-CN"/>
        </w:rPr>
        <w:t>指南意图：</w:t>
      </w:r>
      <w:r>
        <w:rPr>
          <w:rFonts w:hint="eastAsia" w:ascii="仿宋_GB2312" w:hAnsi="楷体" w:eastAsia="仿宋_GB2312" w:cs="Times New Roman"/>
          <w:kern w:val="2"/>
          <w:sz w:val="32"/>
          <w:szCs w:val="32"/>
          <w:lang w:val="en-US" w:eastAsia="zh-CN" w:bidi="ar-SA"/>
        </w:rPr>
        <w:t>（1）梳理学历学位认证工作涉及的国内外法律法规、部门规章以及规范性文件的法律依据和法律框架；（2）分析各层级法律规范在学位认证中的适用范围和具体作用；（3）剖析现有法律基础存在的问题；（4）提出完善学位认证的法律和制度建设建议。</w:t>
      </w:r>
    </w:p>
    <w:p w14:paraId="0C576BBB">
      <w:pPr>
        <w:ind w:firstLine="640"/>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24. 外籍教师聘任管理研究（培育）</w:t>
      </w:r>
    </w:p>
    <w:p w14:paraId="644D4056">
      <w:pPr>
        <w:numPr>
          <w:ilvl w:val="0"/>
          <w:numId w:val="0"/>
        </w:numPr>
        <w:spacing w:line="560" w:lineRule="exact"/>
        <w:ind w:firstLine="643" w:firstLineChars="200"/>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仿宋_GB2312" w:cs="仿宋_GB2312"/>
          <w:b/>
          <w:bCs/>
          <w:sz w:val="32"/>
          <w:szCs w:val="32"/>
          <w:highlight w:val="none"/>
        </w:rPr>
        <w:t>指南意图：</w:t>
      </w:r>
      <w:r>
        <w:rPr>
          <w:rFonts w:hint="eastAsia" w:ascii="Times New Roman" w:hAnsi="Times New Roman" w:eastAsia="仿宋_GB2312" w:cs="仿宋_GB2312"/>
          <w:b w:val="0"/>
          <w:bCs w:val="0"/>
          <w:sz w:val="32"/>
          <w:szCs w:val="32"/>
          <w:highlight w:val="none"/>
        </w:rPr>
        <w:t>（1）分析我国引进外籍教师的战略意义和实际需求</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lang w:val="en-US" w:eastAsia="zh-CN"/>
        </w:rPr>
        <w:t>2</w:t>
      </w:r>
      <w:r>
        <w:rPr>
          <w:rFonts w:hint="eastAsia" w:ascii="Times New Roman" w:hAnsi="Times New Roman" w:eastAsia="仿宋_GB2312" w:cs="仿宋_GB2312"/>
          <w:b w:val="0"/>
          <w:bCs w:val="0"/>
          <w:sz w:val="32"/>
          <w:szCs w:val="32"/>
          <w:highlight w:val="none"/>
        </w:rPr>
        <w:t>）研究大中小学外籍教师教育教学专业资质审核法律依据、审核要点及流程</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3</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提出高水平外籍教师引进渠道、STEM学科及语言类教师</w:t>
      </w:r>
      <w:r>
        <w:rPr>
          <w:rFonts w:hint="eastAsia" w:ascii="Times New Roman" w:hAnsi="Times New Roman" w:eastAsia="仿宋_GB2312" w:cs="仿宋_GB2312"/>
          <w:b w:val="0"/>
          <w:bCs w:val="0"/>
          <w:sz w:val="32"/>
          <w:szCs w:val="32"/>
          <w:highlight w:val="none"/>
          <w:lang w:eastAsia="zh-CN"/>
        </w:rPr>
        <w:t>引进</w:t>
      </w:r>
      <w:r>
        <w:rPr>
          <w:rFonts w:hint="eastAsia" w:ascii="Times New Roman" w:hAnsi="Times New Roman" w:eastAsia="仿宋_GB2312" w:cs="仿宋_GB2312"/>
          <w:b w:val="0"/>
          <w:bCs w:val="0"/>
          <w:sz w:val="32"/>
          <w:szCs w:val="32"/>
          <w:highlight w:val="none"/>
        </w:rPr>
        <w:t>布局</w:t>
      </w:r>
      <w:r>
        <w:rPr>
          <w:rFonts w:hint="eastAsia" w:ascii="Times New Roman" w:hAnsi="Times New Roman" w:eastAsia="仿宋_GB2312" w:cs="仿宋_GB2312"/>
          <w:b w:val="0"/>
          <w:bCs w:val="0"/>
          <w:sz w:val="32"/>
          <w:szCs w:val="32"/>
          <w:highlight w:val="none"/>
          <w:lang w:eastAsia="zh-CN"/>
        </w:rPr>
        <w:t>的</w:t>
      </w:r>
      <w:r>
        <w:rPr>
          <w:rFonts w:hint="eastAsia" w:ascii="Times New Roman" w:hAnsi="Times New Roman" w:eastAsia="仿宋_GB2312" w:cs="仿宋_GB2312"/>
          <w:b w:val="0"/>
          <w:bCs w:val="0"/>
          <w:sz w:val="32"/>
          <w:szCs w:val="32"/>
          <w:highlight w:val="none"/>
        </w:rPr>
        <w:t>建议。</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713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D777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CD777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 w:name="KSO_WPS_MARK_KEY" w:val="faf408fd-6399-4858-9638-f35feb32f65a"/>
  </w:docVars>
  <w:rsids>
    <w:rsidRoot w:val="03D015D7"/>
    <w:rsid w:val="00133C34"/>
    <w:rsid w:val="00390229"/>
    <w:rsid w:val="009F5CBD"/>
    <w:rsid w:val="01632467"/>
    <w:rsid w:val="0191344F"/>
    <w:rsid w:val="032338E1"/>
    <w:rsid w:val="0331750E"/>
    <w:rsid w:val="03396A63"/>
    <w:rsid w:val="03473F53"/>
    <w:rsid w:val="037934F5"/>
    <w:rsid w:val="03D015D7"/>
    <w:rsid w:val="048E122E"/>
    <w:rsid w:val="04B22E52"/>
    <w:rsid w:val="04CE1F73"/>
    <w:rsid w:val="05A1556C"/>
    <w:rsid w:val="05BA479A"/>
    <w:rsid w:val="064F71A2"/>
    <w:rsid w:val="081C26F5"/>
    <w:rsid w:val="08563242"/>
    <w:rsid w:val="08A2799E"/>
    <w:rsid w:val="08F8781E"/>
    <w:rsid w:val="09202931"/>
    <w:rsid w:val="0AAD5BA8"/>
    <w:rsid w:val="0B047EA8"/>
    <w:rsid w:val="0B130875"/>
    <w:rsid w:val="0C1441E7"/>
    <w:rsid w:val="0C2D57D1"/>
    <w:rsid w:val="0C4C7A75"/>
    <w:rsid w:val="0CBB4B8B"/>
    <w:rsid w:val="0D2441ED"/>
    <w:rsid w:val="0D304DED"/>
    <w:rsid w:val="0E535F95"/>
    <w:rsid w:val="0E73023A"/>
    <w:rsid w:val="0EED5CC8"/>
    <w:rsid w:val="0F16122F"/>
    <w:rsid w:val="0FEE5277"/>
    <w:rsid w:val="10482BD9"/>
    <w:rsid w:val="104A6F90"/>
    <w:rsid w:val="105608E0"/>
    <w:rsid w:val="10615A49"/>
    <w:rsid w:val="11335B4B"/>
    <w:rsid w:val="1157426E"/>
    <w:rsid w:val="11787A1C"/>
    <w:rsid w:val="11877731"/>
    <w:rsid w:val="122D5680"/>
    <w:rsid w:val="12971B2C"/>
    <w:rsid w:val="136D227B"/>
    <w:rsid w:val="14C77D01"/>
    <w:rsid w:val="14CB179A"/>
    <w:rsid w:val="1660561E"/>
    <w:rsid w:val="166A3BE5"/>
    <w:rsid w:val="172265D6"/>
    <w:rsid w:val="172779EC"/>
    <w:rsid w:val="17984446"/>
    <w:rsid w:val="17D82A97"/>
    <w:rsid w:val="1A6A5E64"/>
    <w:rsid w:val="1B7E6450"/>
    <w:rsid w:val="1BAC4A41"/>
    <w:rsid w:val="1BED2887"/>
    <w:rsid w:val="1D081BC3"/>
    <w:rsid w:val="1D554B87"/>
    <w:rsid w:val="1E0F552D"/>
    <w:rsid w:val="1E360515"/>
    <w:rsid w:val="1E7563B6"/>
    <w:rsid w:val="1F026E1F"/>
    <w:rsid w:val="1F3E65C2"/>
    <w:rsid w:val="1FF3184D"/>
    <w:rsid w:val="1FF97C68"/>
    <w:rsid w:val="200946E1"/>
    <w:rsid w:val="201D6D3F"/>
    <w:rsid w:val="2026550C"/>
    <w:rsid w:val="20637954"/>
    <w:rsid w:val="21857FA4"/>
    <w:rsid w:val="21A47E8B"/>
    <w:rsid w:val="22356D36"/>
    <w:rsid w:val="22610049"/>
    <w:rsid w:val="239451DD"/>
    <w:rsid w:val="239C3530"/>
    <w:rsid w:val="24C70119"/>
    <w:rsid w:val="25037F84"/>
    <w:rsid w:val="25253091"/>
    <w:rsid w:val="252738F3"/>
    <w:rsid w:val="25AB3597"/>
    <w:rsid w:val="26143832"/>
    <w:rsid w:val="269A7D3A"/>
    <w:rsid w:val="271D4196"/>
    <w:rsid w:val="273D0B66"/>
    <w:rsid w:val="27AF693F"/>
    <w:rsid w:val="283552A1"/>
    <w:rsid w:val="285C1013"/>
    <w:rsid w:val="289F6F98"/>
    <w:rsid w:val="28F23F5F"/>
    <w:rsid w:val="28F434A6"/>
    <w:rsid w:val="2920604A"/>
    <w:rsid w:val="29C25353"/>
    <w:rsid w:val="29E96D83"/>
    <w:rsid w:val="29FD45DD"/>
    <w:rsid w:val="2A2D6E1E"/>
    <w:rsid w:val="2A3D5E4C"/>
    <w:rsid w:val="2A6E4940"/>
    <w:rsid w:val="2A913648"/>
    <w:rsid w:val="2AF06A42"/>
    <w:rsid w:val="2BBB7D74"/>
    <w:rsid w:val="2BC35AA3"/>
    <w:rsid w:val="2DC30DFC"/>
    <w:rsid w:val="2E1343CF"/>
    <w:rsid w:val="2E552C39"/>
    <w:rsid w:val="2F064378"/>
    <w:rsid w:val="2F950E14"/>
    <w:rsid w:val="3006698C"/>
    <w:rsid w:val="301B498B"/>
    <w:rsid w:val="30514F89"/>
    <w:rsid w:val="30A47C65"/>
    <w:rsid w:val="30D872A8"/>
    <w:rsid w:val="339B21DC"/>
    <w:rsid w:val="34785525"/>
    <w:rsid w:val="35A308C5"/>
    <w:rsid w:val="36407D2B"/>
    <w:rsid w:val="366C0B20"/>
    <w:rsid w:val="36975B9F"/>
    <w:rsid w:val="36C35588"/>
    <w:rsid w:val="36E27034"/>
    <w:rsid w:val="3720190B"/>
    <w:rsid w:val="38034BC1"/>
    <w:rsid w:val="398D6C3F"/>
    <w:rsid w:val="3A303A2C"/>
    <w:rsid w:val="3A9D7939"/>
    <w:rsid w:val="3B2319C9"/>
    <w:rsid w:val="3BF910A8"/>
    <w:rsid w:val="3C65673D"/>
    <w:rsid w:val="3CA7495E"/>
    <w:rsid w:val="3CEF368A"/>
    <w:rsid w:val="3D163594"/>
    <w:rsid w:val="3DB827A5"/>
    <w:rsid w:val="3DD703CA"/>
    <w:rsid w:val="3F233462"/>
    <w:rsid w:val="3F756DAC"/>
    <w:rsid w:val="4016694D"/>
    <w:rsid w:val="41423F92"/>
    <w:rsid w:val="41603E0D"/>
    <w:rsid w:val="418D3D1B"/>
    <w:rsid w:val="429B36D7"/>
    <w:rsid w:val="438B387E"/>
    <w:rsid w:val="43C71D26"/>
    <w:rsid w:val="456450B8"/>
    <w:rsid w:val="45967305"/>
    <w:rsid w:val="4635022C"/>
    <w:rsid w:val="46DD1AFD"/>
    <w:rsid w:val="472B7227"/>
    <w:rsid w:val="47AF2F63"/>
    <w:rsid w:val="47B2035D"/>
    <w:rsid w:val="4859366D"/>
    <w:rsid w:val="486616A1"/>
    <w:rsid w:val="48AE6D76"/>
    <w:rsid w:val="48D83E70"/>
    <w:rsid w:val="49156DF5"/>
    <w:rsid w:val="498C182D"/>
    <w:rsid w:val="4A9E5F51"/>
    <w:rsid w:val="4ADD6D8E"/>
    <w:rsid w:val="4ADE012D"/>
    <w:rsid w:val="4B907038"/>
    <w:rsid w:val="4BD61EF6"/>
    <w:rsid w:val="4D3F4D77"/>
    <w:rsid w:val="4D562F24"/>
    <w:rsid w:val="4E8D742E"/>
    <w:rsid w:val="4F3616B6"/>
    <w:rsid w:val="4FFD16DF"/>
    <w:rsid w:val="50266F8B"/>
    <w:rsid w:val="51166C6F"/>
    <w:rsid w:val="514C521A"/>
    <w:rsid w:val="51776E50"/>
    <w:rsid w:val="51B827F6"/>
    <w:rsid w:val="51B86EB8"/>
    <w:rsid w:val="51EB22FE"/>
    <w:rsid w:val="51FE7753"/>
    <w:rsid w:val="52477B70"/>
    <w:rsid w:val="53C438F2"/>
    <w:rsid w:val="544E5189"/>
    <w:rsid w:val="55C67DF5"/>
    <w:rsid w:val="55DD5EA6"/>
    <w:rsid w:val="5609223F"/>
    <w:rsid w:val="56424FCF"/>
    <w:rsid w:val="56427760"/>
    <w:rsid w:val="56AB0A44"/>
    <w:rsid w:val="56E04EE6"/>
    <w:rsid w:val="57517B92"/>
    <w:rsid w:val="575A2CBD"/>
    <w:rsid w:val="57DE4296"/>
    <w:rsid w:val="58204665"/>
    <w:rsid w:val="58E80082"/>
    <w:rsid w:val="5954396A"/>
    <w:rsid w:val="59E0763D"/>
    <w:rsid w:val="5A786F30"/>
    <w:rsid w:val="5A950149"/>
    <w:rsid w:val="5AF977CE"/>
    <w:rsid w:val="5B6B556E"/>
    <w:rsid w:val="5BE508A9"/>
    <w:rsid w:val="5BED775E"/>
    <w:rsid w:val="5C171A25"/>
    <w:rsid w:val="5C245818"/>
    <w:rsid w:val="5C4F0894"/>
    <w:rsid w:val="5D015043"/>
    <w:rsid w:val="5E511C49"/>
    <w:rsid w:val="5E9F72A7"/>
    <w:rsid w:val="5EBD5F93"/>
    <w:rsid w:val="5F061196"/>
    <w:rsid w:val="5FB44474"/>
    <w:rsid w:val="6032369E"/>
    <w:rsid w:val="609307D2"/>
    <w:rsid w:val="60C90403"/>
    <w:rsid w:val="611759A9"/>
    <w:rsid w:val="612322FC"/>
    <w:rsid w:val="61392128"/>
    <w:rsid w:val="61865F80"/>
    <w:rsid w:val="61F061FA"/>
    <w:rsid w:val="62155EEF"/>
    <w:rsid w:val="630735F9"/>
    <w:rsid w:val="639037F0"/>
    <w:rsid w:val="63E659D1"/>
    <w:rsid w:val="6497439E"/>
    <w:rsid w:val="64B01871"/>
    <w:rsid w:val="65261D9A"/>
    <w:rsid w:val="66487C70"/>
    <w:rsid w:val="6669039A"/>
    <w:rsid w:val="675D0152"/>
    <w:rsid w:val="683756F1"/>
    <w:rsid w:val="68CF47B6"/>
    <w:rsid w:val="692C4915"/>
    <w:rsid w:val="699A3F04"/>
    <w:rsid w:val="69B60103"/>
    <w:rsid w:val="69DD6E91"/>
    <w:rsid w:val="6B2A419E"/>
    <w:rsid w:val="6B31008D"/>
    <w:rsid w:val="6B4078AA"/>
    <w:rsid w:val="6B833D75"/>
    <w:rsid w:val="6D6B0A08"/>
    <w:rsid w:val="6E030AA0"/>
    <w:rsid w:val="6EEF1FAD"/>
    <w:rsid w:val="6F7B50B7"/>
    <w:rsid w:val="6F8E6454"/>
    <w:rsid w:val="701B0142"/>
    <w:rsid w:val="72894069"/>
    <w:rsid w:val="733817AF"/>
    <w:rsid w:val="73512F62"/>
    <w:rsid w:val="735B2516"/>
    <w:rsid w:val="74480466"/>
    <w:rsid w:val="74FE2AA8"/>
    <w:rsid w:val="76116A13"/>
    <w:rsid w:val="76392208"/>
    <w:rsid w:val="76F8372F"/>
    <w:rsid w:val="775572CE"/>
    <w:rsid w:val="78586402"/>
    <w:rsid w:val="786646C4"/>
    <w:rsid w:val="78A02850"/>
    <w:rsid w:val="791A1778"/>
    <w:rsid w:val="7DFD6736"/>
    <w:rsid w:val="7EE4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方正小标宋简体" w:cs="宋体"/>
      <w:b/>
      <w:bCs/>
      <w:kern w:val="44"/>
      <w:sz w:val="36"/>
      <w:szCs w:val="48"/>
      <w:lang w:bidi="ar"/>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360" w:lineRule="auto"/>
      <w:ind w:firstLine="640" w:firstLineChars="200"/>
      <w:jc w:val="left"/>
      <w:outlineLvl w:val="1"/>
    </w:pPr>
    <w:rPr>
      <w:rFonts w:ascii="Arial" w:hAnsi="Arial" w:eastAsia="黑体" w:cstheme="minorBidi"/>
      <w:sz w:val="32"/>
    </w:rPr>
  </w:style>
  <w:style w:type="paragraph" w:styleId="4">
    <w:name w:val="heading 3"/>
    <w:basedOn w:val="1"/>
    <w:next w:val="1"/>
    <w:semiHidden/>
    <w:unhideWhenUsed/>
    <w:qFormat/>
    <w:uiPriority w:val="0"/>
    <w:pPr>
      <w:adjustRightInd w:val="0"/>
      <w:snapToGrid w:val="0"/>
      <w:spacing w:before="0" w:beforeAutospacing="0" w:after="0" w:afterAutospacing="0" w:line="360" w:lineRule="auto"/>
      <w:ind w:firstLine="640" w:firstLineChars="200"/>
      <w:jc w:val="left"/>
      <w:outlineLvl w:val="2"/>
    </w:pPr>
    <w:rPr>
      <w:rFonts w:hint="eastAsia" w:ascii="宋体" w:hAnsi="宋体" w:eastAsia="楷体_GB2312" w:cs="宋体"/>
      <w:b/>
      <w:bCs/>
      <w:kern w:val="0"/>
      <w:sz w:val="32"/>
      <w:szCs w:val="27"/>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3685</Words>
  <Characters>3732</Characters>
  <Lines>0</Lines>
  <Paragraphs>0</Paragraphs>
  <TotalTime>10</TotalTime>
  <ScaleCrop>false</ScaleCrop>
  <LinksUpToDate>false</LinksUpToDate>
  <CharactersWithSpaces>3755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2025-02-24T10:17:00Z</dcterms:created>
  <dc:creator>陈冀然</dc:creator>
  <cp:lastModifiedBy>WPS_1709550185</cp:lastModifiedBy>
  <cp:lastPrinted>2025-04-15T01:00:00Z</cp:lastPrinted>
  <dcterms:modified xsi:type="dcterms:W3CDTF">2025-05-03T09:15:24Z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9C8BEAC46DAB415488FB78F814D6F696_13</vt:lpwstr>
  </property>
  <property fmtid="{D5CDD505-2E9C-101B-9397-08002B2CF9AE}" pid="4" name="KSOTemplateDocerSaveRecord">
    <vt:lpwstr>eyJoZGlkIjoiYWEwZDI0ODAxODY5MzM4ZjBlMzc2OGZkZTYzMzNhMjEiLCJ1c2VySWQiOiIxMTYxNDkwMzg5In0=</vt:lpwstr>
  </property>
</Properties>
</file>