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2A067" w14:textId="77777777" w:rsidR="004571B4" w:rsidRDefault="00EC6F10">
      <w:pPr>
        <w:pStyle w:val="1"/>
        <w:spacing w:before="0" w:after="0" w:line="500" w:lineRule="exact"/>
        <w:jc w:val="left"/>
        <w:rPr>
          <w:rFonts w:ascii="宋体" w:eastAsia="宋体" w:hAnsi="宋体"/>
          <w:b w:val="0"/>
          <w:color w:val="auto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b w:val="0"/>
          <w:color w:val="auto"/>
          <w:sz w:val="24"/>
          <w:szCs w:val="24"/>
        </w:rPr>
        <w:t>附件1</w:t>
      </w:r>
    </w:p>
    <w:p w14:paraId="078EE1AA" w14:textId="77777777" w:rsidR="004571B4" w:rsidRDefault="00EC6F10">
      <w:pPr>
        <w:pStyle w:val="1"/>
        <w:spacing w:before="0" w:afterLines="50" w:after="156" w:line="500" w:lineRule="exact"/>
        <w:rPr>
          <w:rFonts w:ascii="宋体" w:eastAsia="宋体" w:hAnsi="宋体"/>
          <w:color w:val="000000"/>
          <w:szCs w:val="32"/>
        </w:rPr>
      </w:pPr>
      <w:r>
        <w:rPr>
          <w:rFonts w:ascii="宋体" w:eastAsia="宋体" w:hAnsi="宋体" w:hint="eastAsia"/>
          <w:color w:val="000000"/>
          <w:szCs w:val="32"/>
        </w:rPr>
        <w:t>中国高校产学研创新基金-具身智能机器人创新教育专项</w:t>
      </w:r>
    </w:p>
    <w:p w14:paraId="67735597" w14:textId="77777777" w:rsidR="004571B4" w:rsidRDefault="00EC6F10">
      <w:pPr>
        <w:pStyle w:val="1"/>
        <w:spacing w:before="0" w:afterLines="100" w:after="312" w:line="500" w:lineRule="exact"/>
        <w:rPr>
          <w:rFonts w:ascii="宋体" w:eastAsia="宋体" w:hAnsi="宋体"/>
          <w:color w:val="000000"/>
          <w:szCs w:val="32"/>
        </w:rPr>
      </w:pPr>
      <w:r>
        <w:rPr>
          <w:rFonts w:ascii="宋体" w:eastAsia="宋体" w:hAnsi="宋体" w:hint="eastAsia"/>
          <w:color w:val="000000"/>
          <w:szCs w:val="32"/>
        </w:rPr>
        <w:t>申请指南说明</w:t>
      </w:r>
    </w:p>
    <w:p w14:paraId="7830FDAE" w14:textId="77777777" w:rsidR="004571B4" w:rsidRDefault="00EC6F10">
      <w:pPr>
        <w:spacing w:line="500" w:lineRule="exact"/>
        <w:ind w:firstLineChars="200" w:firstLine="480"/>
        <w:jc w:val="both"/>
      </w:pPr>
      <w:r>
        <w:rPr>
          <w:rFonts w:hint="eastAsia"/>
        </w:rPr>
        <w:t>根据 《关于申报202</w:t>
      </w:r>
      <w:r>
        <w:t>5</w:t>
      </w:r>
      <w:r>
        <w:rPr>
          <w:rFonts w:hint="eastAsia"/>
        </w:rPr>
        <w:t>年中国高校产学研创新基金的通知》(教科发中心函〔202</w:t>
      </w:r>
      <w:r>
        <w:t>5</w:t>
      </w:r>
      <w:r>
        <w:rPr>
          <w:rFonts w:hint="eastAsia"/>
        </w:rPr>
        <w:t>〕3号)的相关要求，教育部高等学校科学研究发展中心与纯米科技（上海）股份有限公司、上海开普勒机器人有限公司联合设立“2</w:t>
      </w:r>
      <w:r>
        <w:t>025</w:t>
      </w:r>
      <w:r>
        <w:rPr>
          <w:rFonts w:hint="eastAsia"/>
        </w:rPr>
        <w:t>年中国高校产学研创新基金—具身智能机器人创新专项”，</w:t>
      </w:r>
      <w:r>
        <w:rPr>
          <w:rFonts w:cs="Times New Roman" w:hint="eastAsia"/>
          <w:iCs/>
          <w:color w:val="000000"/>
        </w:rPr>
        <w:t>面向具身智能机器人技术在教育领域的科研与教学应用，以“产学研融合、科技赋能教育”为核心，聚焦具身智能机器人与人工智能、大数据、大模型、数字孪生、5G与云计算等技术的协同创新，完善机器人领域人才培养体系，推动机器人技术从实验室走向产业端应用。</w:t>
      </w:r>
    </w:p>
    <w:p w14:paraId="6A6CC76C" w14:textId="77777777" w:rsidR="004571B4" w:rsidRDefault="00EC6F10">
      <w:pPr>
        <w:pStyle w:val="2"/>
        <w:numPr>
          <w:ilvl w:val="0"/>
          <w:numId w:val="0"/>
        </w:numPr>
        <w:spacing w:beforeLines="0" w:before="163" w:line="500" w:lineRule="exact"/>
        <w:ind w:firstLineChars="200" w:firstLine="560"/>
        <w:rPr>
          <w:color w:val="000000"/>
        </w:rPr>
      </w:pPr>
      <w:r>
        <w:rPr>
          <w:rFonts w:hint="eastAsia"/>
          <w:color w:val="000000"/>
        </w:rPr>
        <w:t>一、课题方向</w:t>
      </w:r>
    </w:p>
    <w:p w14:paraId="6C0D9D64" w14:textId="77777777" w:rsidR="004571B4" w:rsidRDefault="00EC6F10">
      <w:pPr>
        <w:spacing w:line="500" w:lineRule="exact"/>
        <w:ind w:firstLineChars="200" w:firstLine="480"/>
        <w:jc w:val="both"/>
      </w:pPr>
      <w:r>
        <w:rPr>
          <w:rFonts w:cs="Times New Roman" w:hint="eastAsia"/>
          <w:iCs/>
          <w:color w:val="000000"/>
        </w:rPr>
        <w:t>1.</w:t>
      </w:r>
      <w:r>
        <w:rPr>
          <w:rFonts w:hint="eastAsia"/>
        </w:rPr>
        <w:t>“具身智能机器人创新专项”支持科研团队在多模态大模型、通用智能体、灵巧手精细操控、视-触-力融合感知、全身协同运动控制、人机共融交互、数字孪生训练、持续学习与技能进化、机器人操作系统、Sim2Real迁移学习等前沿技术及其在柔性制造、精密装配、医疗康养、商用服务、特种作业、仓储物流、家庭服务、教育科研、智能网联汽车测试、智慧商超等领域的创新应用研究。以技术突破推动教育变革与人才培养，助力新质生产力发展。</w:t>
      </w:r>
    </w:p>
    <w:p w14:paraId="31A25966" w14:textId="77777777" w:rsidR="004571B4" w:rsidRDefault="00EC6F10">
      <w:pPr>
        <w:spacing w:line="500" w:lineRule="exact"/>
        <w:ind w:firstLine="480"/>
        <w:rPr>
          <w:vanish/>
          <w:color w:val="000000" w:themeColor="text1"/>
        </w:rPr>
      </w:pPr>
      <w:r>
        <w:rPr>
          <w:rFonts w:cs="Times New Roman" w:hint="eastAsia"/>
          <w:iCs/>
          <w:color w:val="000000"/>
        </w:rPr>
        <w:t>2</w:t>
      </w:r>
      <w:r>
        <w:rPr>
          <w:rFonts w:cs="Times New Roman"/>
          <w:iCs/>
          <w:color w:val="000000"/>
        </w:rPr>
        <w:t>.</w:t>
      </w:r>
      <w:r>
        <w:rPr>
          <w:rFonts w:hint="eastAsia"/>
        </w:rPr>
        <w:t>“具身智能机器人创新专项”的</w:t>
      </w:r>
      <w:r>
        <w:rPr>
          <w:rFonts w:cs="Times New Roman" w:hint="eastAsia"/>
          <w:iCs/>
          <w:color w:val="000000"/>
        </w:rPr>
        <w:t>申请截止时间为2026年5月 30日，计划执行时间为</w:t>
      </w:r>
      <w:r>
        <w:rPr>
          <w:rFonts w:cs="Times New Roman" w:hint="eastAsia"/>
          <w:iCs/>
          <w:color w:val="000000" w:themeColor="text1"/>
        </w:rPr>
        <w:t>2026年</w:t>
      </w:r>
      <w:r>
        <w:rPr>
          <w:rFonts w:cs="Times New Roman"/>
          <w:iCs/>
          <w:color w:val="000000" w:themeColor="text1"/>
        </w:rPr>
        <w:t>9</w:t>
      </w:r>
      <w:r>
        <w:rPr>
          <w:rFonts w:cs="Times New Roman" w:hint="eastAsia"/>
          <w:iCs/>
          <w:color w:val="000000" w:themeColor="text1"/>
        </w:rPr>
        <w:t>月1日</w:t>
      </w:r>
      <w:r>
        <w:rPr>
          <w:color w:val="000000" w:themeColor="text1"/>
        </w:rPr>
        <w:t>～</w:t>
      </w:r>
      <w:r>
        <w:rPr>
          <w:rFonts w:cs="Times New Roman" w:hint="eastAsia"/>
          <w:iCs/>
          <w:color w:val="000000" w:themeColor="text1"/>
        </w:rPr>
        <w:t>2027年</w:t>
      </w:r>
      <w:r>
        <w:rPr>
          <w:rFonts w:cs="Times New Roman"/>
          <w:iCs/>
          <w:color w:val="000000" w:themeColor="text1"/>
        </w:rPr>
        <w:t>8</w:t>
      </w:r>
      <w:r>
        <w:rPr>
          <w:rFonts w:cs="Times New Roman" w:hint="eastAsia"/>
          <w:iCs/>
          <w:color w:val="000000" w:themeColor="text1"/>
        </w:rPr>
        <w:t>月3</w:t>
      </w:r>
      <w:r>
        <w:rPr>
          <w:rFonts w:cs="Times New Roman"/>
          <w:iCs/>
          <w:color w:val="000000" w:themeColor="text1"/>
        </w:rPr>
        <w:t>1</w:t>
      </w:r>
      <w:r>
        <w:rPr>
          <w:rFonts w:cs="Times New Roman" w:hint="eastAsia"/>
          <w:iCs/>
          <w:color w:val="000000" w:themeColor="text1"/>
        </w:rPr>
        <w:t>日</w:t>
      </w:r>
      <w:r>
        <w:rPr>
          <w:rFonts w:cs="Times New Roman" w:hint="eastAsia"/>
          <w:iCs/>
          <w:color w:val="000000"/>
        </w:rPr>
        <w:t>，</w:t>
      </w:r>
      <w:r>
        <w:rPr>
          <w:rFonts w:hint="eastAsia"/>
          <w:color w:val="000000" w:themeColor="text1"/>
          <w:kern w:val="24"/>
        </w:rPr>
        <w:t>可根据课题复杂程度适度延长执行周期，最长不超过两年。</w:t>
      </w:r>
    </w:p>
    <w:p w14:paraId="3C4C6550" w14:textId="77777777" w:rsidR="004571B4" w:rsidRDefault="004571B4">
      <w:pPr>
        <w:spacing w:line="500" w:lineRule="exact"/>
        <w:ind w:firstLine="480"/>
        <w:rPr>
          <w:color w:val="000000" w:themeColor="text1"/>
        </w:rPr>
      </w:pPr>
    </w:p>
    <w:p w14:paraId="59D77DEF" w14:textId="77777777" w:rsidR="004571B4" w:rsidRDefault="00EC6F10">
      <w:pPr>
        <w:spacing w:line="500" w:lineRule="exact"/>
        <w:ind w:firstLineChars="200" w:firstLine="480"/>
        <w:jc w:val="both"/>
      </w:pPr>
      <w:r>
        <w:rPr>
          <w:rFonts w:cs="Times New Roman" w:hint="eastAsia"/>
          <w:iCs/>
          <w:color w:val="000000"/>
        </w:rPr>
        <w:t>3.</w:t>
      </w:r>
      <w:r>
        <w:rPr>
          <w:rFonts w:hint="eastAsia"/>
        </w:rPr>
        <w:t>“具身智能机器人创新专项”为每个立项课题提供总经费</w:t>
      </w:r>
      <w:r>
        <w:t>10</w:t>
      </w:r>
      <w:r>
        <w:rPr>
          <w:rFonts w:hint="eastAsia"/>
        </w:rPr>
        <w:t>万元至</w:t>
      </w:r>
      <w:r>
        <w:t>50</w:t>
      </w:r>
      <w:r>
        <w:rPr>
          <w:rFonts w:hint="eastAsia"/>
        </w:rPr>
        <w:t>万元的课题研究经费及科研软硬件平台支持，其中课题研究经费</w:t>
      </w:r>
      <w:r>
        <w:t>5</w:t>
      </w:r>
      <w:r>
        <w:rPr>
          <w:rFonts w:hint="eastAsia"/>
        </w:rPr>
        <w:t>万元至</w:t>
      </w:r>
      <w:r>
        <w:t>25</w:t>
      </w:r>
      <w:r>
        <w:rPr>
          <w:rFonts w:hint="eastAsia"/>
        </w:rPr>
        <w:t>万元，</w:t>
      </w:r>
      <w:r>
        <w:rPr>
          <w:rFonts w:cs="Times New Roman" w:hint="eastAsia"/>
          <w:iCs/>
          <w:color w:val="000000"/>
        </w:rPr>
        <w:t>平台资源优先向技术创新性强、教学适配度高的课题倾斜。</w:t>
      </w:r>
    </w:p>
    <w:p w14:paraId="395957F5" w14:textId="77777777" w:rsidR="004571B4" w:rsidRDefault="00EC6F10">
      <w:pPr>
        <w:spacing w:line="500" w:lineRule="exact"/>
        <w:ind w:firstLineChars="200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hint="eastAsia"/>
          <w:iCs/>
          <w:color w:val="000000"/>
        </w:rPr>
        <w:t>4.</w:t>
      </w:r>
      <w:r>
        <w:rPr>
          <w:rFonts w:hint="eastAsia"/>
        </w:rPr>
        <w:t>“具身智能机器人创新专项”</w:t>
      </w:r>
      <w:r>
        <w:rPr>
          <w:rFonts w:cs="Times New Roman" w:hint="eastAsia"/>
          <w:iCs/>
          <w:color w:val="000000"/>
        </w:rPr>
        <w:t>课题选题方向按院校类型分为两部分(表一和表二)：表一面向普通本科院校，侧重具身智能机器人相关核心技术研发与理论应用；表二面向高等职业院校，侧重机器人相关实训教学与实训场景落地。</w:t>
      </w:r>
    </w:p>
    <w:p w14:paraId="72E3AFC3" w14:textId="77777777" w:rsidR="004571B4" w:rsidRDefault="00EC6F10">
      <w:pPr>
        <w:spacing w:line="500" w:lineRule="exact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 w:hint="eastAsia"/>
          <w:b/>
          <w:iCs/>
        </w:rPr>
        <w:lastRenderedPageBreak/>
        <w:t>表一</w:t>
      </w:r>
      <w:r>
        <w:rPr>
          <w:rFonts w:ascii="Times New Roman" w:hAnsi="Times New Roman" w:cs="Times New Roman" w:hint="eastAsia"/>
          <w:b/>
          <w:iCs/>
        </w:rPr>
        <w:t xml:space="preserve"> </w:t>
      </w:r>
      <w:r>
        <w:rPr>
          <w:rFonts w:ascii="Times New Roman" w:hAnsi="Times New Roman" w:cs="Times New Roman" w:hint="eastAsia"/>
          <w:b/>
          <w:iCs/>
        </w:rPr>
        <w:t>选题列表（</w:t>
      </w:r>
      <w:bookmarkStart w:id="1" w:name="OLE_LINK12"/>
      <w:r>
        <w:rPr>
          <w:rFonts w:ascii="Times New Roman" w:hAnsi="Times New Roman" w:cs="Times New Roman" w:hint="eastAsia"/>
          <w:b/>
          <w:iCs/>
        </w:rPr>
        <w:t>面向普通本科院校</w:t>
      </w:r>
      <w:bookmarkEnd w:id="1"/>
      <w:r>
        <w:rPr>
          <w:rFonts w:ascii="Times New Roman" w:hAnsi="Times New Roman" w:cs="Times New Roman" w:hint="eastAsia"/>
          <w:b/>
          <w:iCs/>
        </w:rPr>
        <w:t>）</w:t>
      </w:r>
    </w:p>
    <w:tbl>
      <w:tblPr>
        <w:tblStyle w:val="a9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662"/>
      </w:tblGrid>
      <w:tr w:rsidR="004571B4" w14:paraId="33CFB430" w14:textId="77777777">
        <w:trPr>
          <w:trHeight w:val="20"/>
          <w:jc w:val="center"/>
        </w:trPr>
        <w:tc>
          <w:tcPr>
            <w:tcW w:w="988" w:type="dxa"/>
            <w:shd w:val="clear" w:color="auto" w:fill="D9D9D9" w:themeFill="background1" w:themeFillShade="D9"/>
            <w:noWrap/>
            <w:vAlign w:val="center"/>
          </w:tcPr>
          <w:p w14:paraId="6D5F42B2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课题方向编号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215AD6D4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课题方向</w:t>
            </w:r>
          </w:p>
        </w:tc>
        <w:tc>
          <w:tcPr>
            <w:tcW w:w="6662" w:type="dxa"/>
            <w:shd w:val="clear" w:color="auto" w:fill="D9D9D9" w:themeFill="background1" w:themeFillShade="D9"/>
            <w:noWrap/>
            <w:vAlign w:val="center"/>
          </w:tcPr>
          <w:p w14:paraId="036D16E3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课题研究内容</w:t>
            </w:r>
          </w:p>
        </w:tc>
      </w:tr>
      <w:tr w:rsidR="004571B4" w14:paraId="16D4147E" w14:textId="77777777">
        <w:trPr>
          <w:trHeight w:val="20"/>
          <w:jc w:val="center"/>
        </w:trPr>
        <w:tc>
          <w:tcPr>
            <w:tcW w:w="988" w:type="dxa"/>
            <w:noWrap/>
            <w:vAlign w:val="center"/>
          </w:tcPr>
          <w:p w14:paraId="571A0E99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A01</w:t>
            </w:r>
          </w:p>
        </w:tc>
        <w:tc>
          <w:tcPr>
            <w:tcW w:w="1559" w:type="dxa"/>
            <w:vAlign w:val="center"/>
          </w:tcPr>
          <w:p w14:paraId="501093EE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新质生产力背景下AI人工智能与具身智能深度融合应用研究</w:t>
            </w:r>
          </w:p>
        </w:tc>
        <w:tc>
          <w:tcPr>
            <w:tcW w:w="6662" w:type="dxa"/>
            <w:vAlign w:val="center"/>
          </w:tcPr>
          <w:p w14:paraId="1C06B505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>本方向聚焦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AI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人工智能与具身智能在教学全流程的深度渗透，破解教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学中的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个性化培养不足、理论与实践脱节等痛点，核心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方向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包括：</w:t>
            </w:r>
          </w:p>
          <w:p w14:paraId="2C0C11B7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>1.多模态感知驱动的精准教学适配研究：探索具身智能通过视觉识别、语音情感分析、生物传感等技术，实时采集学生课堂微表情、行为动作、认知反馈等数据，结合人工智能算法构建动态更新的学生认知画像；研究基于画像的个性化教学内容推送、学习路径规划及难点答疑策略，实现“千人千面”的精准施教。</w:t>
            </w:r>
          </w:p>
          <w:p w14:paraId="43EFF9D6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>2.跨学科多模态教学场景开发与落地：针对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理</w:t>
            </w:r>
            <w:r>
              <w:rPr>
                <w:rFonts w:cs="Times New Roman"/>
                <w:bCs/>
                <w:iCs/>
                <w:sz w:val="20"/>
                <w:szCs w:val="20"/>
              </w:rPr>
              <w:t>工科（虚拟仿真实验）、医科（临床技能实训）、文科（情景化思辨）、艺术类（创意创作）等不同学科特性，开发多模态融合教学场景；重点研究AI驱动的“虚拟教师+物理教具+数字资源”多模态协同交互技术，实现“视、听、触、思”一体化沉浸学习（如理工科多感官实验模拟、医科多模态患者诊疗训练、文科多场景历史情境再现）；验证多模态场景对学生知识吸收、技能掌握与创新思维的提升效果。</w:t>
            </w:r>
          </w:p>
          <w:p w14:paraId="012F2F87" w14:textId="77777777" w:rsidR="004571B4" w:rsidRDefault="00EC6F10">
            <w:pPr>
              <w:spacing w:line="280" w:lineRule="exact"/>
              <w:ind w:firstLineChars="200" w:firstLine="400"/>
              <w:jc w:val="both"/>
            </w:pPr>
            <w:r>
              <w:rPr>
                <w:rFonts w:cs="Times New Roman"/>
                <w:bCs/>
                <w:iCs/>
                <w:sz w:val="20"/>
                <w:szCs w:val="20"/>
              </w:rPr>
              <w:t>3.教师角色转型与智能教学能力培养研究：分析人工智能与具身智能对高校教师传统教学职责的冲击，明确教师作为“认知引导者”“学习设计师”的新定位；研究面向教师的智能技术素养培训体系，探索校企协同开发具身智能教学工具的路径，构建人机协同的教学创新共同体。</w:t>
            </w:r>
          </w:p>
        </w:tc>
      </w:tr>
      <w:tr w:rsidR="004571B4" w14:paraId="33ADFA71" w14:textId="77777777">
        <w:trPr>
          <w:trHeight w:val="20"/>
          <w:jc w:val="center"/>
        </w:trPr>
        <w:tc>
          <w:tcPr>
            <w:tcW w:w="988" w:type="dxa"/>
            <w:noWrap/>
            <w:vAlign w:val="center"/>
          </w:tcPr>
          <w:p w14:paraId="14EB9737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A02</w:t>
            </w:r>
          </w:p>
        </w:tc>
        <w:tc>
          <w:tcPr>
            <w:tcW w:w="1559" w:type="dxa"/>
            <w:vAlign w:val="center"/>
          </w:tcPr>
          <w:p w14:paraId="51D3C3B3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新质生产力背景下具身智能机器人工业场景应用研究</w:t>
            </w:r>
          </w:p>
        </w:tc>
        <w:tc>
          <w:tcPr>
            <w:tcW w:w="6662" w:type="dxa"/>
            <w:vAlign w:val="center"/>
          </w:tcPr>
          <w:p w14:paraId="5C1279C8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具身智能机器人凭借类人形态的灵活性、高精度作业能力以及与工业大模型结合的自主决策能力，包括但不限于汽车、工程机械、轨道交通、精密装配、物流、焊接等行业生产需求，研究工业机器人高精度轨迹控制、力控装配技术，开发适配多品种小批量生产的柔性生产线系统；融合机器视觉与 AI 算法，构建工业机器人外观缺陷检测与质量管控模型，实现生产过程实时异常预警；探索工业机器人与 AGV、MES 系统的集成方案，突破多机协同调度、生产数据实时分析等关键问题，形成制造业数字化转型的技术原型与实践指导方案，助力“智能工厂”建设。</w:t>
            </w:r>
          </w:p>
        </w:tc>
      </w:tr>
      <w:tr w:rsidR="004571B4" w14:paraId="7EBFE4A4" w14:textId="77777777">
        <w:trPr>
          <w:trHeight w:val="20"/>
          <w:jc w:val="center"/>
        </w:trPr>
        <w:tc>
          <w:tcPr>
            <w:tcW w:w="988" w:type="dxa"/>
            <w:noWrap/>
            <w:vAlign w:val="center"/>
          </w:tcPr>
          <w:p w14:paraId="4C586A3F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A03</w:t>
            </w:r>
          </w:p>
        </w:tc>
        <w:tc>
          <w:tcPr>
            <w:tcW w:w="1559" w:type="dxa"/>
            <w:vAlign w:val="center"/>
          </w:tcPr>
          <w:p w14:paraId="7A008535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新质生产力背景下服务机器人多场景智能应用研究</w:t>
            </w:r>
          </w:p>
        </w:tc>
        <w:tc>
          <w:tcPr>
            <w:tcW w:w="6662" w:type="dxa"/>
            <w:vAlign w:val="center"/>
          </w:tcPr>
          <w:p w14:paraId="7D4C80FE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聚焦文旅表演、家庭陪护、商业导购、校园服务等场景，研究服务机器人与 AIoT 设备（智能穿戴、环境传感器）的感知融合技术；开发自然语言理解、情感识别、动态场景适应算法，优化服务机器人交互逻辑，提升家庭陪护场景的情感响应能力与商业场景的用户需求匹配度；文化演艺与互动表演构建服务机器人自主决策系统，解决复杂场景下 “感知 - 决策 - 执行” 闭环难题，形成服务行业智能化升级的技术方案与原型验证。</w:t>
            </w:r>
          </w:p>
        </w:tc>
      </w:tr>
      <w:tr w:rsidR="004571B4" w14:paraId="59236586" w14:textId="77777777">
        <w:trPr>
          <w:trHeight w:val="20"/>
          <w:jc w:val="center"/>
        </w:trPr>
        <w:tc>
          <w:tcPr>
            <w:tcW w:w="988" w:type="dxa"/>
            <w:noWrap/>
            <w:vAlign w:val="center"/>
          </w:tcPr>
          <w:p w14:paraId="28E69F3B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A04</w:t>
            </w:r>
          </w:p>
        </w:tc>
        <w:tc>
          <w:tcPr>
            <w:tcW w:w="1559" w:type="dxa"/>
            <w:vAlign w:val="center"/>
          </w:tcPr>
          <w:p w14:paraId="2B7E0B74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新质生产力背景下特种机器人极端环境适配技术研究</w:t>
            </w:r>
          </w:p>
        </w:tc>
        <w:tc>
          <w:tcPr>
            <w:tcW w:w="6662" w:type="dxa"/>
            <w:vAlign w:val="center"/>
          </w:tcPr>
          <w:p w14:paraId="72F638C8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针对深海、矿山、灾后救援等极端场景，研究特种机器人抗干扰硬件设计（耐高压、防爆、耐高低温结构）与智能控制技术；结合 AIoT 实时数据传输与边缘计算，开发特种机器人自主导航、应急避险、任务自主执行系统，突破极端环境下通信中断、地形复杂等技术瓶颈；探索特种机器人与无人机、物联网监测设备的协同作业模式，拓展机器人应用边界，为能源开发、安全应急等领域提供技术支撑。</w:t>
            </w:r>
          </w:p>
        </w:tc>
      </w:tr>
      <w:tr w:rsidR="004571B4" w14:paraId="0800BC70" w14:textId="77777777">
        <w:trPr>
          <w:trHeight w:val="20"/>
          <w:jc w:val="center"/>
        </w:trPr>
        <w:tc>
          <w:tcPr>
            <w:tcW w:w="988" w:type="dxa"/>
            <w:noWrap/>
            <w:vAlign w:val="center"/>
          </w:tcPr>
          <w:p w14:paraId="79D0C419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A05</w:t>
            </w:r>
          </w:p>
        </w:tc>
        <w:tc>
          <w:tcPr>
            <w:tcW w:w="1559" w:type="dxa"/>
            <w:vAlign w:val="center"/>
          </w:tcPr>
          <w:p w14:paraId="1148363A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新质生产力背景下农业机器人智慧种植技术研究</w:t>
            </w:r>
          </w:p>
        </w:tc>
        <w:tc>
          <w:tcPr>
            <w:tcW w:w="6662" w:type="dxa"/>
            <w:vAlign w:val="center"/>
          </w:tcPr>
          <w:p w14:paraId="6E39B491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融合具身智能技术与农业农艺知识，研发播种、植保、采摘等大田作业机器人，优化机器人对农田环境（土壤湿度、作物长势）的精准感知与自适应作业算法；构建设施农业机器人智能控制系统，实现温室环境调控、精准灌溉、果蔬分选的全流程自动化；研究农业机器人与物联网监测平台的数据联动机制，开发作物生长模型与智能决策系统，提升农业生产的精细化、无人化水平，助力智慧农业发展。</w:t>
            </w:r>
          </w:p>
        </w:tc>
      </w:tr>
      <w:tr w:rsidR="004571B4" w14:paraId="51857C83" w14:textId="77777777" w:rsidTr="001C7179">
        <w:trPr>
          <w:trHeight w:val="1975"/>
          <w:jc w:val="center"/>
        </w:trPr>
        <w:tc>
          <w:tcPr>
            <w:tcW w:w="988" w:type="dxa"/>
            <w:noWrap/>
            <w:vAlign w:val="center"/>
          </w:tcPr>
          <w:p w14:paraId="272CFB66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lastRenderedPageBreak/>
              <w:t>A06</w:t>
            </w:r>
          </w:p>
        </w:tc>
        <w:tc>
          <w:tcPr>
            <w:tcW w:w="1559" w:type="dxa"/>
            <w:vAlign w:val="center"/>
          </w:tcPr>
          <w:p w14:paraId="2DE1B452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新质生产力背景下医疗健康机器人智慧康养服务研究</w:t>
            </w:r>
          </w:p>
        </w:tc>
        <w:tc>
          <w:tcPr>
            <w:tcW w:w="6662" w:type="dxa"/>
            <w:vAlign w:val="center"/>
          </w:tcPr>
          <w:p w14:paraId="77ED8381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研究医疗健康机器人与 AIoT 医疗设备（智能穿戴、远程监测终端）的协同联动技术，开发康复训练机器人的运动姿态识别与个性化训练方案，提升康养服务的精准性；探索护理机器人的多模态交互技术（语音、触觉反馈），优化老年陪护、重症护理场景的服务逻辑；构建医疗健康机器人数据安全防护体系，解决用户隐私保护、医疗数据传输加密等关键问题，为智慧医疗与康养产业提供技术原型与应用指导</w:t>
            </w:r>
          </w:p>
        </w:tc>
      </w:tr>
      <w:tr w:rsidR="004571B4" w14:paraId="14B7132C" w14:textId="77777777" w:rsidTr="001C7179">
        <w:trPr>
          <w:trHeight w:val="2399"/>
          <w:jc w:val="center"/>
        </w:trPr>
        <w:tc>
          <w:tcPr>
            <w:tcW w:w="988" w:type="dxa"/>
            <w:noWrap/>
            <w:vAlign w:val="center"/>
          </w:tcPr>
          <w:p w14:paraId="4730CA17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A07</w:t>
            </w:r>
          </w:p>
        </w:tc>
        <w:tc>
          <w:tcPr>
            <w:tcW w:w="1559" w:type="dxa"/>
            <w:vAlign w:val="center"/>
          </w:tcPr>
          <w:p w14:paraId="24DC4081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新质生产力背景下具身智能机器人在其他领域的研究</w:t>
            </w:r>
          </w:p>
        </w:tc>
        <w:tc>
          <w:tcPr>
            <w:tcW w:w="6662" w:type="dxa"/>
            <w:vAlign w:val="center"/>
          </w:tcPr>
          <w:p w14:paraId="5436219A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具身智能机器人在其他领域应用，包含但不限于针对建筑施工与运维需求，研发钢筋加工、混凝土浇筑、墙面装饰等施工机器人；在仓储物流领域应用，实现 "下单 - 出库 - 拣选 - 扫码 - 装箱" 全链路无人化；在无人机结合多领域应用，核心是通过空、地异构协同突破单一设备的场景局限，形成 “空中侦察 / 运输 + 地面精细操作 / 交互” 的立体作业能力。电网智能维护、变电站巡检和石油勘测智能化检测、高危操作：替代人工的 "钢铁侠、电气设备维护、电气设备维护、具身智能推动工业化与智能化协同发展，为智能产业提供技术支撑。</w:t>
            </w:r>
          </w:p>
        </w:tc>
      </w:tr>
      <w:tr w:rsidR="004571B4" w14:paraId="62A913EA" w14:textId="77777777" w:rsidTr="001C7179">
        <w:trPr>
          <w:trHeight w:val="2406"/>
          <w:jc w:val="center"/>
        </w:trPr>
        <w:tc>
          <w:tcPr>
            <w:tcW w:w="988" w:type="dxa"/>
            <w:noWrap/>
            <w:vAlign w:val="center"/>
          </w:tcPr>
          <w:p w14:paraId="7D6ED7B8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A08</w:t>
            </w:r>
          </w:p>
        </w:tc>
        <w:tc>
          <w:tcPr>
            <w:tcW w:w="1559" w:type="dxa"/>
            <w:vAlign w:val="center"/>
          </w:tcPr>
          <w:p w14:paraId="56786EC8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新质生产力背景下具身智能全栈式技术融合创新研究</w:t>
            </w:r>
          </w:p>
        </w:tc>
        <w:tc>
          <w:tcPr>
            <w:tcW w:w="6662" w:type="dxa"/>
            <w:vAlign w:val="center"/>
          </w:tcPr>
          <w:p w14:paraId="04096872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研究具身智能多模态感知（视觉、触觉、力觉）融合算法，AI大、小脑开发、脑机接口、智能物联、运动控制、仿生技术等构建机器人对物理世界的精准认知模型；开发基于具身智能的人机协作安全机制，实现机器人对人类动作意图的预判与动态避障；涉及传感器芯片、AI智能体算法、大数据、</w:t>
            </w:r>
            <w:r>
              <w:rPr>
                <w:rFonts w:cs="Times New Roman" w:hint="eastAsia"/>
                <w:bCs/>
                <w:iCs/>
                <w:sz w:val="20"/>
                <w:szCs w:val="20"/>
                <w:lang w:bidi="ar"/>
              </w:rPr>
              <w:t>虚实融合的交互与训练场景、</w:t>
            </w:r>
            <w:r>
              <w:rPr>
                <w:rFonts w:cs="Times New Roman" w:hint="eastAsia"/>
                <w:bCs/>
                <w:iCs/>
                <w:sz w:val="20"/>
                <w:szCs w:val="20"/>
              </w:rPr>
              <w:t>数字孪生等众多技术融合，验证具身机器人的应用场景效果，解决具身智能在复杂交互场景下的决策延迟、动作协调等问题，形成具身机器人技术原型与理论支撑，推动前沿技术落地!</w:t>
            </w:r>
          </w:p>
        </w:tc>
      </w:tr>
    </w:tbl>
    <w:p w14:paraId="7316D2BD" w14:textId="77777777" w:rsidR="004571B4" w:rsidRDefault="004571B4">
      <w:pPr>
        <w:spacing w:line="360" w:lineRule="auto"/>
        <w:jc w:val="both"/>
        <w:rPr>
          <w:rFonts w:ascii="Times New Roman" w:hAnsi="Times New Roman" w:cs="Times New Roman"/>
        </w:rPr>
      </w:pPr>
    </w:p>
    <w:p w14:paraId="00AC2ADB" w14:textId="77777777" w:rsidR="004571B4" w:rsidRDefault="00EC6F10">
      <w:pPr>
        <w:spacing w:line="500" w:lineRule="exact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 w:hint="eastAsia"/>
          <w:b/>
          <w:iCs/>
        </w:rPr>
        <w:t xml:space="preserve">    </w:t>
      </w:r>
      <w:r>
        <w:rPr>
          <w:rFonts w:ascii="Times New Roman" w:hAnsi="Times New Roman" w:cs="Times New Roman" w:hint="eastAsia"/>
          <w:b/>
          <w:iCs/>
        </w:rPr>
        <w:t>表二</w:t>
      </w:r>
      <w:r>
        <w:rPr>
          <w:rFonts w:ascii="Times New Roman" w:hAnsi="Times New Roman" w:cs="Times New Roman" w:hint="eastAsia"/>
          <w:b/>
          <w:iCs/>
        </w:rPr>
        <w:t xml:space="preserve"> </w:t>
      </w:r>
      <w:r>
        <w:rPr>
          <w:rFonts w:ascii="Times New Roman" w:hAnsi="Times New Roman" w:cs="Times New Roman" w:hint="eastAsia"/>
          <w:b/>
          <w:iCs/>
        </w:rPr>
        <w:t>选题列表（面向高等职业院校）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667"/>
      </w:tblGrid>
      <w:tr w:rsidR="004571B4" w14:paraId="4DA2D095" w14:textId="77777777">
        <w:trPr>
          <w:trHeight w:val="484"/>
          <w:jc w:val="center"/>
        </w:trPr>
        <w:tc>
          <w:tcPr>
            <w:tcW w:w="988" w:type="dxa"/>
            <w:shd w:val="clear" w:color="000000" w:fill="D0CECE"/>
            <w:vAlign w:val="center"/>
          </w:tcPr>
          <w:p w14:paraId="0F2A605F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课题方向编号</w:t>
            </w:r>
          </w:p>
        </w:tc>
        <w:tc>
          <w:tcPr>
            <w:tcW w:w="1559" w:type="dxa"/>
            <w:shd w:val="clear" w:color="000000" w:fill="D0CECE"/>
            <w:vAlign w:val="center"/>
          </w:tcPr>
          <w:p w14:paraId="12281E3A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课题方向</w:t>
            </w:r>
          </w:p>
        </w:tc>
        <w:tc>
          <w:tcPr>
            <w:tcW w:w="6667" w:type="dxa"/>
            <w:shd w:val="clear" w:color="000000" w:fill="D0CECE"/>
            <w:vAlign w:val="center"/>
          </w:tcPr>
          <w:p w14:paraId="471AA527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课题研究内容</w:t>
            </w:r>
          </w:p>
        </w:tc>
      </w:tr>
      <w:tr w:rsidR="004571B4" w14:paraId="76D03587" w14:textId="77777777">
        <w:trPr>
          <w:trHeight w:val="264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D223844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B01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B6FCB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新质生产力背景下具身智能机器人装调运维教学实训与应用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7A747D02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人形机器人装调运维是指对人形机器人进行安装、调试、运行维护和故障排除等一系列工作，以确保其能够正常、稳定地运行，满足不同应用场景的需求；</w:t>
            </w:r>
          </w:p>
          <w:p w14:paraId="1DD7966E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硬件安装：负责人形机器人整机及核心部件，如关节模组、灵巧手、控制器、传感器单元等的现场安装，包括机械装配对齐、电气接线核查、电源时序验证、安全链路测试、急停响应检查等。</w:t>
            </w:r>
          </w:p>
          <w:p w14:paraId="0E723554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系统调试：开展多模态传感器数据采集系统的部署与校准，确保关节编码器、力矩传感器、IMU等信号正常接入并同步输出；调试灵巧手多指协同动作，执行抓取力一致性测试、触觉反馈对齐等。</w:t>
            </w:r>
          </w:p>
        </w:tc>
      </w:tr>
      <w:tr w:rsidR="004571B4" w14:paraId="7CCF7992" w14:textId="77777777">
        <w:trPr>
          <w:trHeight w:val="268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D38CC96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B02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6CB8C2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新质生产力背景下具身智能机器人数据采集训练与应用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3E00F1C4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数据采集决定了感知精度，数据处理决定了决策效率，数据应用决定了落地价值。数据采集是感知环境、优化运动控制、“虚实融合的交互与训练场景”、迭代AI算法的核心基础，核心是采集多模态数据并确保准确性、同步性，适配实训与产业应用场景。随着具身智能技术发展，多模态数据采集（视觉、力觉、触觉等）在实训中的作用将更突出。校企合作建设数据采集中心，为学生提供处理、分析和应用机器人数据的实践机会将成为重要方向；数据采集与实景操作更紧密结合：</w:t>
            </w:r>
          </w:p>
          <w:p w14:paraId="6E0BAE98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数字孪生技术和动作捕捉技术的创新应用，允许学生在虚拟环境中安全地进行高风险或高成本操作练习，再过渡到物理机器人操作。</w:t>
            </w:r>
          </w:p>
        </w:tc>
      </w:tr>
      <w:tr w:rsidR="004571B4" w14:paraId="42800A55" w14:textId="77777777">
        <w:trPr>
          <w:trHeight w:val="10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CB1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lastRenderedPageBreak/>
              <w:t>B03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7A09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新质生产力背景下具身智能机器人在工业智能制造实训应用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4393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结合制造业岗位需求，搭建模拟工业生产线的实训场景（含工业机器人、AGV、PLC 控制柜），研究工业机器人编程调试、故障排查、生产线切换等核心运维技能；开发贴近企业实际的实训任务（包含但不限于工业制造柔性产线、汽车零部件、焊接机器人、轨道交通车辆设备作业、工程机械、电子装配、船舶、航空等），融入机器视觉检测、工业互联网、VR/AR及数字孪生技术、让学生接触到与产业一线同步的“机械臂+AGV+智能检测设备”协同体系，同时将机器人编程、设备联动逻辑、数据化运维等内容融入实训；</w:t>
            </w:r>
          </w:p>
          <w:p w14:paraId="5D8B3262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在智能制造实训中的落地，需构建“技术支撑-课程适配-产教协同”的完整实施路径。培养工业机器人日常运维与生产线现场管理能力，对接智能制造产业技术岗位。</w:t>
            </w:r>
          </w:p>
        </w:tc>
      </w:tr>
      <w:tr w:rsidR="004571B4" w14:paraId="573EF24A" w14:textId="77777777">
        <w:trPr>
          <w:trHeight w:val="6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2C03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B04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3604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新质生产力背景下服务机器人场景化运维与教学实践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DEE5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针对文旅表演、家庭服务、科普教学、商场导购、社区养老、校园配送、安防巡查等场景，开发服务机器人实训模块（含机器人本体、场景模拟组件、 交互设备）；研究服务机器人导航路径校准、语音交互话术配置、设备清洁保养等实操技术，设计故障模拟实训（如传感器失效、通信中断处理）；构建 “虚实结合” 教学环境，通过虚拟场景预演与实体设备实操结合，帮助学生掌握服务机器人部署、运维及用户需求响应技能，满足科普、文旅、商业服务、养老护理等行业岗位要求。</w:t>
            </w:r>
          </w:p>
        </w:tc>
      </w:tr>
      <w:tr w:rsidR="004571B4" w14:paraId="5CE2DE64" w14:textId="77777777">
        <w:trPr>
          <w:trHeight w:val="211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D956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B05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2076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新质生产力背景下农业机器人智慧种植实操教学应用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24C7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结合农业生产实际，开发农业机器人实训套件（含小型植保机器人、灌溉控制模块、土壤传感器）；研究农业机器人田间作业规划、设备调试（如喷头校准、行走速度设定）、作业数据记录与分析等实操技术；设计贴近农田场景的实训项目（如温室大棚植保机器人操作、机械化种植和采摘、大田作物长势监测机器人数据采集），融入 AIoT 数据联动环节（如传感器数据与机器人作业参数匹配）；编制农业机器人操作教学指南，培养学生农业机器人应用与基层运维能力，服务智慧农业产业。</w:t>
            </w:r>
          </w:p>
        </w:tc>
      </w:tr>
      <w:tr w:rsidR="004571B4" w14:paraId="79ED7F58" w14:textId="77777777">
        <w:trPr>
          <w:trHeight w:val="8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457E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B06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8B3B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新质生产力背景下医疗健康机器人智慧康养服务实训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6DBA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围绕智慧康养岗位需求，搭建医疗健康机器人实训场景（含康复训练机器人、智能护理、养老服务、生命体征监测设备）；研究康复机器人辅助训练操作（如肢体康复轨迹设定、训练强度调节）、护理机器人日常保养、健康数据采集与上传等实操技术；设计模拟实训任务（如老年患者康复训练指导、社区康养护理），融入医患沟通、隐私保护等职业素养培养；编制实训考核标准与操作手册，提升学生医疗健康机器人应用与康养服务结合能力，对接养老机构、社区医疗等岗位。</w:t>
            </w:r>
          </w:p>
        </w:tc>
      </w:tr>
      <w:tr w:rsidR="004571B4" w14:paraId="61F9181F" w14:textId="77777777">
        <w:trPr>
          <w:trHeight w:val="2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6DC7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B07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0EAC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新质生产力背景下具身智能机器人在其他专业领域的实训与应用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A143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具身智能机器人在其他领域应用，包含但不限于针对在仓储物流领域应用，实现 "下单 - 出库 - 拣选 - 扫码 - 装箱" 全链路无人化；在无人机结合多领域应用，核心是通过空、地异构协同突破单一设备的场景局限，形成 “空中侦察 / 运输 + 地面精细操作 / 交互” 的立体作业能力；建筑施工与运维需求，研发钢筋加工、混凝土浇筑、墙面装饰等施工机器人；电网智能维护、变电站巡检和石油化工、能源开采、应急救援等高危操作：替代人工的 "钢铁侠、电气设备维护、电气设备维护、智能巡检和救援；具身智能推动工业化与智能化协同发展，为智能产业提供技术支撑。</w:t>
            </w:r>
          </w:p>
        </w:tc>
      </w:tr>
      <w:tr w:rsidR="004571B4" w14:paraId="15F79B90" w14:textId="77777777">
        <w:trPr>
          <w:trHeight w:val="11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D0E8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B08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999A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人工智能在教学领域多模态场景融合创新与应用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5DA0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聚焦人工智能教学普及需求，以及赋能专业领域教学应用与实践；研究人工智能在虚拟实操、通用智能体、动作捕捉、环境感知交互（如视觉识别、触觉反馈调节、仿生智能）具身智能等领域融合创新技术。</w:t>
            </w:r>
          </w:p>
          <w:p w14:paraId="3C353103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降低门槛：虚拟仿真替代部分实体设备，极大降低教学成本。</w:t>
            </w:r>
          </w:p>
          <w:p w14:paraId="177F90DA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虚拟场景：VR/MR 构建多样化虚拟场景，覆盖实体教学无法触及的领域。</w:t>
            </w:r>
          </w:p>
          <w:p w14:paraId="6831EED1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精准适配：通用智能体个性化规划学习路径，AIGC 实时生成适配性教学课程内容。</w:t>
            </w:r>
          </w:p>
          <w:p w14:paraId="4423D548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lastRenderedPageBreak/>
              <w:t>环境感知交互：解决 “虚拟操作与真实环境感知脱节” 问题，让学生掌握具身智能 “环境识别-动作适配” 核心能力（如视觉识别物体分类、触觉反馈调节抓取力度、动作捕捉数据采集）。​</w:t>
            </w:r>
          </w:p>
          <w:p w14:paraId="3DE22B7C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具身智能：构建 “数据-设备-场景”互联互通教学场景，培养产业端所需的“多设备协同”综合技能人才；将进一步打破校企壁垒，让产业资源深度融入教学全过程，培养更多具备精湛协同技能、创新思维的大国工匠。</w:t>
            </w:r>
          </w:p>
        </w:tc>
      </w:tr>
    </w:tbl>
    <w:p w14:paraId="5457246B" w14:textId="77777777" w:rsidR="004571B4" w:rsidRDefault="00EC6F10">
      <w:pPr>
        <w:pStyle w:val="2"/>
        <w:numPr>
          <w:ilvl w:val="0"/>
          <w:numId w:val="0"/>
        </w:numPr>
        <w:spacing w:beforeLines="100" w:before="312" w:line="500" w:lineRule="exact"/>
        <w:ind w:firstLineChars="200" w:firstLine="560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二、申报条件和要求</w:t>
      </w:r>
    </w:p>
    <w:p w14:paraId="45C39704" w14:textId="77777777" w:rsidR="004571B4" w:rsidRDefault="00EC6F10">
      <w:pPr>
        <w:widowControl w:val="0"/>
        <w:spacing w:line="500" w:lineRule="exact"/>
        <w:ind w:firstLine="482"/>
        <w:jc w:val="both"/>
      </w:pPr>
      <w:r>
        <w:rPr>
          <w:rFonts w:hint="eastAsia"/>
        </w:rPr>
        <w:t>1.</w:t>
      </w:r>
      <w:r>
        <w:t>申请人需具备较强科研能力，能够独立开展研究和组织开展研究，在所申报课题</w:t>
      </w:r>
      <w:bookmarkStart w:id="2" w:name="_Hlk183599318"/>
      <w:r>
        <w:t>领域</w:t>
      </w:r>
      <w:bookmarkEnd w:id="2"/>
      <w:r>
        <w:t>具备一定的研究基础；</w:t>
      </w:r>
      <w:r>
        <w:rPr>
          <w:rFonts w:hint="eastAsia"/>
        </w:rPr>
        <w:t>团队成员在选定的研究课题方向有较好的技术储备，包括与申报课题研究内容相关的研究成果、教材、论文、专利、获奖等。鼓励青年科研人员积极申报；</w:t>
      </w:r>
    </w:p>
    <w:p w14:paraId="7B854453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2.团队组成合理，分工明确，数量不少于3人。</w:t>
      </w:r>
    </w:p>
    <w:p w14:paraId="429B161E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3.优先支持已经设立相关专业或者已经成立相关研究中心的院校。</w:t>
      </w:r>
    </w:p>
    <w:p w14:paraId="52AC6160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4.优先支持选题方向符合表一和表二要求的课题。</w:t>
      </w:r>
    </w:p>
    <w:p w14:paraId="3A208FF8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5.优先支持研究内容有创造性、前瞻性和实用性，有商业化前景的课题。</w:t>
      </w:r>
    </w:p>
    <w:p w14:paraId="0E3FECBF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6.优先支持有明确研究成果，成果有应用价值，可复制、可推广的课题，不支持纯理论研究。</w:t>
      </w:r>
    </w:p>
    <w:p w14:paraId="456A1216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7.优先支持研究方向明确，研究内容详实，研究方案完整可行的课题。</w:t>
      </w:r>
    </w:p>
    <w:p w14:paraId="10CA2AB2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8.可支持多个院校成立联合课题组，完成较为复杂的研究课题的联合申报和研究。</w:t>
      </w:r>
    </w:p>
    <w:p w14:paraId="36D4A6A3" w14:textId="77777777" w:rsidR="004571B4" w:rsidRDefault="00EC6F10">
      <w:pPr>
        <w:spacing w:line="500" w:lineRule="exact"/>
        <w:ind w:firstLine="480"/>
        <w:jc w:val="both"/>
      </w:pPr>
      <w:r>
        <w:t>9</w:t>
      </w:r>
      <w:r>
        <w:rPr>
          <w:rFonts w:hint="eastAsia"/>
        </w:rPr>
        <w:t>.申请人应客观、真实地填写申请书，没有知识产权争议，遵守国家有关知识产权法规。在课题申请</w:t>
      </w:r>
      <w:r>
        <w:t>书</w:t>
      </w:r>
      <w:r>
        <w:rPr>
          <w:rFonts w:hint="eastAsia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14:paraId="170988FE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.</w:t>
      </w:r>
      <w:r>
        <w:t>资助课题获得的知识产权由</w:t>
      </w:r>
      <w:r>
        <w:rPr>
          <w:rFonts w:hint="eastAsia"/>
        </w:rPr>
        <w:t>资助方</w:t>
      </w:r>
      <w:r>
        <w:t>和</w:t>
      </w:r>
      <w:r>
        <w:rPr>
          <w:rFonts w:hint="eastAsia"/>
        </w:rPr>
        <w:t>课题</w:t>
      </w:r>
      <w:r>
        <w:t>承担单位共同所有</w:t>
      </w:r>
      <w:r>
        <w:rPr>
          <w:rFonts w:hint="eastAsia"/>
        </w:rPr>
        <w:t>。</w:t>
      </w:r>
    </w:p>
    <w:p w14:paraId="63D94094" w14:textId="77777777" w:rsidR="004571B4" w:rsidRDefault="00EC6F10">
      <w:pPr>
        <w:spacing w:line="500" w:lineRule="exact"/>
        <w:ind w:firstLine="480"/>
        <w:jc w:val="both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.课题组需具备可独立支配的课题研究基础软硬件条件。</w:t>
      </w:r>
      <w:r>
        <w:t xml:space="preserve"> </w:t>
      </w:r>
    </w:p>
    <w:p w14:paraId="7127535E" w14:textId="77777777" w:rsidR="004571B4" w:rsidRDefault="00EC6F10">
      <w:pPr>
        <w:pStyle w:val="2"/>
        <w:widowControl w:val="0"/>
        <w:numPr>
          <w:ilvl w:val="0"/>
          <w:numId w:val="0"/>
        </w:numPr>
        <w:adjustRightInd w:val="0"/>
        <w:snapToGrid w:val="0"/>
        <w:spacing w:beforeLines="100" w:before="312" w:line="500" w:lineRule="exact"/>
        <w:ind w:firstLineChars="200" w:firstLine="560"/>
        <w:contextualSpacing w:val="0"/>
        <w:jc w:val="both"/>
        <w:rPr>
          <w:color w:val="000000"/>
        </w:rPr>
      </w:pPr>
      <w:r>
        <w:rPr>
          <w:rFonts w:hint="eastAsia"/>
          <w:color w:val="000000"/>
        </w:rPr>
        <w:t>三、资源及服务</w:t>
      </w:r>
    </w:p>
    <w:p w14:paraId="17B82EB9" w14:textId="77777777" w:rsidR="004571B4" w:rsidRDefault="00EC6F10">
      <w:pPr>
        <w:widowControl w:val="0"/>
        <w:snapToGrid w:val="0"/>
        <w:spacing w:line="500" w:lineRule="exact"/>
        <w:ind w:firstLine="480"/>
        <w:jc w:val="both"/>
      </w:pPr>
      <w:r>
        <w:rPr>
          <w:rFonts w:hint="eastAsia"/>
        </w:rPr>
        <w:t>针对合作院校，基金将提供完善的资源和服务体系，以保证院校顺利开展合</w:t>
      </w:r>
      <w:r>
        <w:rPr>
          <w:rFonts w:hint="eastAsia"/>
        </w:rPr>
        <w:lastRenderedPageBreak/>
        <w:t>作课题，并为院校提供长期有效的支持。</w:t>
      </w:r>
    </w:p>
    <w:p w14:paraId="5FC9FE58" w14:textId="77777777" w:rsidR="004571B4" w:rsidRDefault="00EC6F10">
      <w:pPr>
        <w:widowControl w:val="0"/>
        <w:snapToGrid w:val="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1.“</w:t>
      </w:r>
      <w:r>
        <w:rPr>
          <w:rFonts w:hint="eastAsia"/>
        </w:rPr>
        <w:t>具身智能机器人创新专项</w:t>
      </w:r>
      <w:r>
        <w:rPr>
          <w:rFonts w:cs="Times New Roman" w:hint="eastAsia"/>
          <w:iCs/>
          <w:color w:val="000000"/>
        </w:rPr>
        <w:t>”为每个立项课题提供对应的研究经费及科研软硬件平台支持，为申报团队提供创新项目选题指导，协助团队完成科研项目申请，并根据需求开展服务校方等工作。</w:t>
      </w:r>
    </w:p>
    <w:p w14:paraId="0B24EF83" w14:textId="77777777" w:rsidR="004571B4" w:rsidRDefault="00EC6F10">
      <w:pPr>
        <w:widowControl w:val="0"/>
        <w:snapToGrid w:val="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2. 项目发起单位将辅助、联合申报院校申报新的科研课题，提供项目咨询服务和技术支持，辅助科研成果的快速产品化及解决方案的包装。</w:t>
      </w:r>
    </w:p>
    <w:p w14:paraId="55249292" w14:textId="77777777" w:rsidR="004571B4" w:rsidRDefault="00EC6F10">
      <w:pPr>
        <w:spacing w:line="480" w:lineRule="exact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 w:hint="eastAsia"/>
          <w:b/>
          <w:iCs/>
        </w:rPr>
        <w:t>表三</w:t>
      </w:r>
      <w:r>
        <w:rPr>
          <w:rFonts w:ascii="Times New Roman" w:hAnsi="Times New Roman" w:cs="Times New Roman" w:hint="eastAsia"/>
          <w:b/>
          <w:iCs/>
        </w:rPr>
        <w:t xml:space="preserve"> </w:t>
      </w:r>
      <w:r>
        <w:rPr>
          <w:rFonts w:ascii="Times New Roman" w:hAnsi="Times New Roman" w:cs="Times New Roman" w:hint="eastAsia"/>
          <w:b/>
          <w:iCs/>
        </w:rPr>
        <w:t>提供给课题研究的资源说明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6520"/>
      </w:tblGrid>
      <w:tr w:rsidR="004571B4" w14:paraId="3831F022" w14:textId="77777777">
        <w:trPr>
          <w:trHeight w:val="515"/>
          <w:jc w:val="center"/>
        </w:trPr>
        <w:tc>
          <w:tcPr>
            <w:tcW w:w="709" w:type="dxa"/>
            <w:shd w:val="clear" w:color="000000" w:fill="C0C0C0"/>
            <w:vAlign w:val="center"/>
          </w:tcPr>
          <w:p w14:paraId="6C7C8CD7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平台编号</w:t>
            </w:r>
          </w:p>
        </w:tc>
        <w:tc>
          <w:tcPr>
            <w:tcW w:w="1985" w:type="dxa"/>
            <w:shd w:val="clear" w:color="000000" w:fill="C0C0C0"/>
            <w:vAlign w:val="center"/>
          </w:tcPr>
          <w:p w14:paraId="74EA6000" w14:textId="77777777" w:rsidR="004571B4" w:rsidRDefault="00EC6F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技术平台名称</w:t>
            </w:r>
          </w:p>
          <w:p w14:paraId="364B6C0C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及服务</w:t>
            </w:r>
          </w:p>
        </w:tc>
        <w:tc>
          <w:tcPr>
            <w:tcW w:w="6520" w:type="dxa"/>
            <w:shd w:val="clear" w:color="000000" w:fill="C0C0C0"/>
            <w:vAlign w:val="center"/>
          </w:tcPr>
          <w:p w14:paraId="7DC582C8" w14:textId="77777777" w:rsidR="004571B4" w:rsidRDefault="00EC6F10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 w:hint="eastAsia"/>
                <w:b/>
                <w:iCs/>
                <w:sz w:val="21"/>
                <w:szCs w:val="21"/>
              </w:rPr>
              <w:t>详细介绍</w:t>
            </w:r>
          </w:p>
        </w:tc>
      </w:tr>
      <w:tr w:rsidR="004571B4" w14:paraId="4C24475A" w14:textId="77777777">
        <w:trPr>
          <w:trHeight w:val="1296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272F366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C01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B2549F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机器人行业专用本体设备及开发套件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3BEFCE6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基于工业、服务机器人细分需求，提供专用机械设备（含伺服电机、滚阻丝杠）及配套开发套件；包含维护技术手册、驱动程序、基础开发案例，帮助课题组理解关键机械部件性能参数，开发适配机器人的控制与感知模块，提升机器人核心组件研发能力。</w:t>
            </w:r>
          </w:p>
        </w:tc>
      </w:tr>
      <w:tr w:rsidR="004571B4" w14:paraId="066D70CD" w14:textId="77777777">
        <w:trPr>
          <w:trHeight w:val="103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0104D45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C02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59EBEC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机器人实训套件（灵巧手、伺服关节模组）及调试软件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B655252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提供工业机器人实训套件（灵巧手、伺服关节模组）及配套调试软件；支持课题组进行机器人轨迹编程、多机协同模拟、故障模拟等实验，帮助理解工业机器人自动化控制原理，为技术研发与教学演示提供硬件支撑。</w:t>
            </w:r>
          </w:p>
        </w:tc>
      </w:tr>
      <w:tr w:rsidR="004571B4" w14:paraId="5B01F1D1" w14:textId="77777777">
        <w:trPr>
          <w:trHeight w:val="1259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C0AD509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C03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A8E081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机器人场景化实训平台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6ABF95D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模拟教育、工业、家庭、医疗、商业场景的机器人实训环境，包含服务机器人本体、环境模拟组件（如家庭服务模型、医院病房场景、商场售货等模型）、AIoT 交互设备（智能音箱、环境传感器）；支持课题组设计服务机器人交互实训项目，帮助高职学生掌握服务机器人操作。</w:t>
            </w:r>
          </w:p>
        </w:tc>
      </w:tr>
      <w:tr w:rsidR="004571B4" w14:paraId="3C3AA9F2" w14:textId="77777777">
        <w:trPr>
          <w:trHeight w:val="127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F8A6F9B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C04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1BB0C8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特种机器人（无人机/四足机器人等）实训平台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A70903D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提供无人机（低空机器人）/四足机器人本体、地面控制站、AIoT 监控模块（如低空区域摄像头、气象传感器）；支持地空协同操作、巡检安防、应急救援场景，模拟低空物流、环境监测、实现无人机自主飞行、数据回传、任务执行等实训，适配高职院校低空经济领域机器人教学需求。</w:t>
            </w:r>
          </w:p>
        </w:tc>
      </w:tr>
      <w:tr w:rsidR="004571B4" w14:paraId="2E0F7E48" w14:textId="77777777">
        <w:trPr>
          <w:trHeight w:val="153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E3DB00B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C05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9D6DEF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机器人综合实训教学精品课程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8B2A79A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针对机器人专业教学需求设计的课程体系，涵盖机器人原理、编程基础、场景应用（工业 / 商用 / 特种）等内容；配套课程教材、实验指导书、数字化资源，包含基础操作实验（如机器人编程入门、装调运维）、进阶创新实验（如机器人场景应用设计），满足本科院校理论教学与高职院校实操教学需求，激发学生学习兴趣与创新能力。</w:t>
            </w:r>
          </w:p>
        </w:tc>
      </w:tr>
      <w:tr w:rsidR="004571B4" w14:paraId="599BACFA" w14:textId="77777777">
        <w:trPr>
          <w:trHeight w:val="1428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0BF847B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C06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08624B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人工智能教学应用平台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A686F95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本平台依托人工智能、大数据、云计算等核心技术，构建覆盖“课程资源学习、课堂互动教学、自主学习AI互动、题库考试管理、AI教师分身、统计数据看板”全教学流程的智能教学生态。聚焦教师、学生两类核心用户，高效化的教学解决方案，助力教育数字化转型与教学质量提升。</w:t>
            </w:r>
          </w:p>
        </w:tc>
      </w:tr>
      <w:tr w:rsidR="004571B4" w14:paraId="42A3CE1A" w14:textId="77777777">
        <w:trPr>
          <w:trHeight w:val="1539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0E28E03" w14:textId="77777777" w:rsidR="004571B4" w:rsidRDefault="00EC6F10">
            <w:pPr>
              <w:spacing w:line="280" w:lineRule="exact"/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C07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1F1783" w14:textId="77777777" w:rsidR="004571B4" w:rsidRDefault="00EC6F10">
            <w:pPr>
              <w:spacing w:line="280" w:lineRule="exact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机器人虚拟仿真实验平台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A0D1E9C" w14:textId="77777777" w:rsidR="004571B4" w:rsidRDefault="00EC6F10">
            <w:pPr>
              <w:spacing w:line="280" w:lineRule="exact"/>
              <w:ind w:firstLineChars="200" w:firstLine="400"/>
              <w:jc w:val="both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 w:hint="eastAsia"/>
                <w:bCs/>
                <w:iCs/>
                <w:sz w:val="20"/>
                <w:szCs w:val="20"/>
              </w:rPr>
              <w:t>通过虚拟仿真技术模拟机器人真实应用环境（如工业生产线、服务场景、教学场景），支持机器人虚拟操作、故障模拟、方案验证等功能；可模拟多种机器人类型（工业、医疗、商用、服务、特种）的操作流程，降低实体设备损耗与安全风险，适配院校教学实训、技术科研等场景，提升实验效率与覆盖范围。</w:t>
            </w:r>
          </w:p>
        </w:tc>
      </w:tr>
    </w:tbl>
    <w:p w14:paraId="49C31097" w14:textId="77777777" w:rsidR="004571B4" w:rsidRDefault="00EC6F10">
      <w:pPr>
        <w:pStyle w:val="2"/>
        <w:widowControl w:val="0"/>
        <w:numPr>
          <w:ilvl w:val="0"/>
          <w:numId w:val="0"/>
        </w:numPr>
        <w:adjustRightInd w:val="0"/>
        <w:snapToGrid w:val="0"/>
        <w:spacing w:beforeLines="100" w:before="312" w:line="500" w:lineRule="exact"/>
        <w:ind w:firstLineChars="100" w:firstLine="280"/>
        <w:contextualSpacing w:val="0"/>
        <w:rPr>
          <w:color w:val="000000"/>
        </w:rPr>
      </w:pPr>
      <w:r>
        <w:rPr>
          <w:rFonts w:hint="eastAsia"/>
          <w:color w:val="000000"/>
        </w:rPr>
        <w:lastRenderedPageBreak/>
        <w:t>四、课题申报说明</w:t>
      </w:r>
    </w:p>
    <w:p w14:paraId="60EB67D1" w14:textId="77777777" w:rsidR="004571B4" w:rsidRDefault="00EC6F10">
      <w:pPr>
        <w:widowControl w:val="0"/>
        <w:adjustRightInd w:val="0"/>
        <w:snapToGrid w:val="0"/>
        <w:spacing w:line="500" w:lineRule="exact"/>
        <w:ind w:firstLineChars="200" w:firstLine="480"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>1. 申请人须仔细阅读申请指南，按照指南详细填写申请书，填写不合要求的课题会按照格式不符合要求处理。</w:t>
      </w:r>
    </w:p>
    <w:p w14:paraId="0883A6F4" w14:textId="77777777" w:rsidR="004571B4" w:rsidRDefault="00EC6F10">
      <w:pPr>
        <w:widowControl w:val="0"/>
        <w:adjustRightInd w:val="0"/>
        <w:snapToGrid w:val="0"/>
        <w:spacing w:line="500" w:lineRule="exact"/>
        <w:ind w:firstLineChars="200" w:firstLine="480"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>2. 请各课题申请人按要求填写申请书（申请书中手机和邮箱必须填写），加盖公章及签字后扫描上传至：https://cxjj.cutech.edu.cn；为方便评审，申请书扫描件请按以下命名规则命名：学校名称+申请人姓名。</w:t>
      </w:r>
    </w:p>
    <w:p w14:paraId="5A273C89" w14:textId="77777777" w:rsidR="004571B4" w:rsidRDefault="00EC6F10">
      <w:pPr>
        <w:spacing w:line="500" w:lineRule="exact"/>
        <w:ind w:firstLineChars="200" w:firstLine="480"/>
        <w:contextualSpacing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>3. 书面材料一份，邮寄至：北京市海淀区中关村大街35号803室，教育部高等学校科学研究发展中心信息化研究发展处。</w:t>
      </w:r>
    </w:p>
    <w:p w14:paraId="69C63E43" w14:textId="77777777" w:rsidR="004571B4" w:rsidRDefault="00EC6F10">
      <w:pPr>
        <w:spacing w:line="500" w:lineRule="exact"/>
        <w:ind w:firstLineChars="200" w:firstLine="480"/>
        <w:contextualSpacing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>4. 申请截止时间为2026年5月30日。</w:t>
      </w:r>
    </w:p>
    <w:p w14:paraId="68286FBD" w14:textId="77777777" w:rsidR="004571B4" w:rsidRDefault="00EC6F10">
      <w:pPr>
        <w:spacing w:line="500" w:lineRule="exact"/>
        <w:ind w:firstLineChars="200" w:firstLine="480"/>
        <w:contextualSpacing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>5. 课题的计划执行时间为2026年</w:t>
      </w:r>
      <w:r>
        <w:rPr>
          <w:iCs/>
          <w:color w:val="000000"/>
        </w:rPr>
        <w:t>9</w:t>
      </w:r>
      <w:r>
        <w:rPr>
          <w:rFonts w:hint="eastAsia"/>
          <w:iCs/>
          <w:color w:val="000000"/>
        </w:rPr>
        <w:t>月1日～2027年8月31日，可根据课题复杂程度适度延长执行周期，根据课题实际情况协商。</w:t>
      </w:r>
    </w:p>
    <w:p w14:paraId="5E861AAE" w14:textId="77777777" w:rsidR="004571B4" w:rsidRDefault="00EC6F10">
      <w:pPr>
        <w:spacing w:line="500" w:lineRule="exact"/>
        <w:ind w:firstLineChars="200" w:firstLine="480"/>
        <w:contextualSpacing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>6. 每位申报人限报一项课题。</w:t>
      </w:r>
    </w:p>
    <w:p w14:paraId="1C463EFD" w14:textId="77777777" w:rsidR="004571B4" w:rsidRDefault="00EC6F10">
      <w:pPr>
        <w:spacing w:line="500" w:lineRule="exact"/>
        <w:ind w:firstLineChars="200" w:firstLine="480"/>
        <w:contextualSpacing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>7. 课题选题列表上的选题方向都不限定课题数量，但如果存在内容重复的相似课题，专家将根据课题组技术积累、课题方案、课题支撑条件等要素择优选择资助课题。</w:t>
      </w:r>
    </w:p>
    <w:p w14:paraId="3DF50791" w14:textId="77777777" w:rsidR="004571B4" w:rsidRDefault="00EC6F10">
      <w:pPr>
        <w:spacing w:line="500" w:lineRule="exact"/>
        <w:ind w:firstLineChars="200" w:firstLine="480"/>
        <w:contextualSpacing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>8. 如果以联合课题组的形式申请课题，需要列明不同学校单位的课题任务。</w:t>
      </w:r>
    </w:p>
    <w:p w14:paraId="587F73B4" w14:textId="77777777" w:rsidR="004571B4" w:rsidRDefault="00EC6F10">
      <w:pPr>
        <w:spacing w:line="500" w:lineRule="exact"/>
        <w:ind w:firstLineChars="200" w:firstLine="480"/>
        <w:contextualSpacing/>
        <w:jc w:val="both"/>
        <w:outlineLvl w:val="1"/>
        <w:rPr>
          <w:iCs/>
          <w:color w:val="000000"/>
        </w:rPr>
      </w:pPr>
      <w:r>
        <w:rPr>
          <w:rFonts w:hint="eastAsia"/>
          <w:iCs/>
          <w:color w:val="000000"/>
        </w:rPr>
        <w:t>9. 课题申请人无需向资助企业额外购买配套设备或软件。</w:t>
      </w:r>
    </w:p>
    <w:p w14:paraId="05B66C42" w14:textId="77777777" w:rsidR="004571B4" w:rsidRDefault="004571B4">
      <w:pPr>
        <w:pStyle w:val="a0"/>
        <w:spacing w:line="500" w:lineRule="exact"/>
        <w:rPr>
          <w:iCs/>
          <w:color w:val="000000"/>
        </w:rPr>
      </w:pPr>
    </w:p>
    <w:p w14:paraId="649B0755" w14:textId="77777777" w:rsidR="004571B4" w:rsidRDefault="00EC6F10">
      <w:pPr>
        <w:spacing w:line="500" w:lineRule="exact"/>
        <w:ind w:firstLineChars="200" w:firstLine="560"/>
        <w:contextualSpacing/>
        <w:jc w:val="both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五、联系人及联系方式</w:t>
      </w:r>
    </w:p>
    <w:p w14:paraId="02D313DF" w14:textId="77777777" w:rsidR="004571B4" w:rsidRDefault="00EC6F10">
      <w:pPr>
        <w:widowControl w:val="0"/>
        <w:snapToGrid w:val="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教育部高等学校科学研究发展中心联系人：</w:t>
      </w:r>
    </w:p>
    <w:p w14:paraId="1646AC35" w14:textId="77777777" w:rsidR="004571B4" w:rsidRDefault="00EC6F10">
      <w:pPr>
        <w:widowControl w:val="0"/>
        <w:snapToGrid w:val="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张  杰    电话：010-62514689</w:t>
      </w:r>
    </w:p>
    <w:p w14:paraId="491E78EE" w14:textId="77777777" w:rsidR="004571B4" w:rsidRDefault="00EC6F10">
      <w:pPr>
        <w:widowControl w:val="0"/>
        <w:snapToGrid w:val="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企业联系人：</w:t>
      </w:r>
    </w:p>
    <w:p w14:paraId="60FC3684" w14:textId="77777777" w:rsidR="004571B4" w:rsidRDefault="00EC6F10">
      <w:pPr>
        <w:pStyle w:val="a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赵老师    电话：13761806565</w:t>
      </w:r>
    </w:p>
    <w:p w14:paraId="17C0B4FD" w14:textId="77777777" w:rsidR="004571B4" w:rsidRDefault="00EC6F10">
      <w:pPr>
        <w:pStyle w:val="a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朱老师    电话：18516630894</w:t>
      </w:r>
    </w:p>
    <w:p w14:paraId="24ED6E9B" w14:textId="77777777" w:rsidR="004571B4" w:rsidRDefault="00EC6F10">
      <w:pPr>
        <w:pStyle w:val="a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胡老师    电话：13645638306</w:t>
      </w:r>
    </w:p>
    <w:p w14:paraId="43875B1D" w14:textId="77777777" w:rsidR="004571B4" w:rsidRDefault="00EC6F10">
      <w:pPr>
        <w:pStyle w:val="a0"/>
        <w:spacing w:line="500" w:lineRule="exact"/>
        <w:ind w:firstLineChars="200" w:firstLine="480"/>
        <w:jc w:val="both"/>
        <w:rPr>
          <w:rFonts w:cs="Times New Roman"/>
          <w:iCs/>
          <w:color w:val="000000"/>
        </w:rPr>
      </w:pPr>
      <w:r>
        <w:rPr>
          <w:rFonts w:cs="Times New Roman" w:hint="eastAsia"/>
          <w:iCs/>
          <w:color w:val="000000"/>
        </w:rPr>
        <w:t>曾老师    电话：18258796569</w:t>
      </w:r>
    </w:p>
    <w:sectPr w:rsidR="00457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A189F" w14:textId="77777777" w:rsidR="00114939" w:rsidRDefault="00114939"/>
  </w:endnote>
  <w:endnote w:type="continuationSeparator" w:id="0">
    <w:p w14:paraId="5B23B5D8" w14:textId="77777777" w:rsidR="00114939" w:rsidRDefault="00114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A8F5D" w14:textId="77777777" w:rsidR="00114939" w:rsidRDefault="00114939"/>
  </w:footnote>
  <w:footnote w:type="continuationSeparator" w:id="0">
    <w:p w14:paraId="2516232E" w14:textId="77777777" w:rsidR="00114939" w:rsidRDefault="001149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jODRmN2IyMjM4ZDFiNzU5Y2JjYTI1NWRlYjE2NGUifQ=="/>
  </w:docVars>
  <w:rsids>
    <w:rsidRoot w:val="00D72D25"/>
    <w:rsid w:val="00075F22"/>
    <w:rsid w:val="00114939"/>
    <w:rsid w:val="001C7179"/>
    <w:rsid w:val="004571B4"/>
    <w:rsid w:val="00472E7C"/>
    <w:rsid w:val="004D5C0F"/>
    <w:rsid w:val="005A1B35"/>
    <w:rsid w:val="00615EA1"/>
    <w:rsid w:val="00637FBA"/>
    <w:rsid w:val="008215AB"/>
    <w:rsid w:val="008B0A7B"/>
    <w:rsid w:val="009C512B"/>
    <w:rsid w:val="00A9190D"/>
    <w:rsid w:val="00B019D8"/>
    <w:rsid w:val="00CC004F"/>
    <w:rsid w:val="00D72D25"/>
    <w:rsid w:val="00EC6F10"/>
    <w:rsid w:val="00ED6D9E"/>
    <w:rsid w:val="00F44F67"/>
    <w:rsid w:val="01A6254E"/>
    <w:rsid w:val="01E427FA"/>
    <w:rsid w:val="02051ECE"/>
    <w:rsid w:val="02FB717A"/>
    <w:rsid w:val="043F7806"/>
    <w:rsid w:val="04A3120E"/>
    <w:rsid w:val="04CB2483"/>
    <w:rsid w:val="050F41BB"/>
    <w:rsid w:val="058F1702"/>
    <w:rsid w:val="062C13F4"/>
    <w:rsid w:val="067F2C7F"/>
    <w:rsid w:val="06B31E04"/>
    <w:rsid w:val="071E2D3E"/>
    <w:rsid w:val="072E6CF9"/>
    <w:rsid w:val="073C7668"/>
    <w:rsid w:val="0768045D"/>
    <w:rsid w:val="08121F97"/>
    <w:rsid w:val="082C148A"/>
    <w:rsid w:val="09BC3307"/>
    <w:rsid w:val="09BE63D9"/>
    <w:rsid w:val="0A0F5813"/>
    <w:rsid w:val="0B0859F4"/>
    <w:rsid w:val="0B1C4B75"/>
    <w:rsid w:val="0C063DA0"/>
    <w:rsid w:val="0C175925"/>
    <w:rsid w:val="0C4E6409"/>
    <w:rsid w:val="0C4F0ABC"/>
    <w:rsid w:val="0CD8573D"/>
    <w:rsid w:val="0D076B54"/>
    <w:rsid w:val="0D4A7900"/>
    <w:rsid w:val="0E08358A"/>
    <w:rsid w:val="0E990EFC"/>
    <w:rsid w:val="0EF06560"/>
    <w:rsid w:val="0F94341D"/>
    <w:rsid w:val="10DA4D6A"/>
    <w:rsid w:val="10E625B3"/>
    <w:rsid w:val="112B0914"/>
    <w:rsid w:val="113C3BE2"/>
    <w:rsid w:val="11DB15E7"/>
    <w:rsid w:val="12413ECC"/>
    <w:rsid w:val="12A7698D"/>
    <w:rsid w:val="131207F5"/>
    <w:rsid w:val="139B7FB4"/>
    <w:rsid w:val="145F51CC"/>
    <w:rsid w:val="14701354"/>
    <w:rsid w:val="15B43971"/>
    <w:rsid w:val="163B2879"/>
    <w:rsid w:val="16494404"/>
    <w:rsid w:val="166F1578"/>
    <w:rsid w:val="16B45CC1"/>
    <w:rsid w:val="17A0779F"/>
    <w:rsid w:val="17D77005"/>
    <w:rsid w:val="17FB137A"/>
    <w:rsid w:val="184E2D57"/>
    <w:rsid w:val="18865A59"/>
    <w:rsid w:val="18A17293"/>
    <w:rsid w:val="18A75415"/>
    <w:rsid w:val="193E101D"/>
    <w:rsid w:val="19722A75"/>
    <w:rsid w:val="1A3D7527"/>
    <w:rsid w:val="1ADE19FB"/>
    <w:rsid w:val="1C4560BD"/>
    <w:rsid w:val="1D291FE4"/>
    <w:rsid w:val="1EA57449"/>
    <w:rsid w:val="1F3256C4"/>
    <w:rsid w:val="1F4E4AA7"/>
    <w:rsid w:val="1F996D35"/>
    <w:rsid w:val="1FA15192"/>
    <w:rsid w:val="1FEB532F"/>
    <w:rsid w:val="1FFB5A71"/>
    <w:rsid w:val="1FFE67E5"/>
    <w:rsid w:val="204748C7"/>
    <w:rsid w:val="218E0668"/>
    <w:rsid w:val="22074DB5"/>
    <w:rsid w:val="22873A35"/>
    <w:rsid w:val="228B0D3A"/>
    <w:rsid w:val="22DC7E8D"/>
    <w:rsid w:val="23FE1AD5"/>
    <w:rsid w:val="246E2CC9"/>
    <w:rsid w:val="256B3402"/>
    <w:rsid w:val="25DE5664"/>
    <w:rsid w:val="26F7507E"/>
    <w:rsid w:val="28A430C0"/>
    <w:rsid w:val="29091087"/>
    <w:rsid w:val="2BC90EF1"/>
    <w:rsid w:val="2CA86D03"/>
    <w:rsid w:val="2ECB2EFB"/>
    <w:rsid w:val="2F9B1296"/>
    <w:rsid w:val="2F9E5F1A"/>
    <w:rsid w:val="30874C00"/>
    <w:rsid w:val="31D63BC7"/>
    <w:rsid w:val="32166341"/>
    <w:rsid w:val="323F1C36"/>
    <w:rsid w:val="3263271A"/>
    <w:rsid w:val="336575D4"/>
    <w:rsid w:val="33705E1F"/>
    <w:rsid w:val="33B444E3"/>
    <w:rsid w:val="33FF3046"/>
    <w:rsid w:val="34143EF1"/>
    <w:rsid w:val="346911EC"/>
    <w:rsid w:val="34727B2A"/>
    <w:rsid w:val="34CE1077"/>
    <w:rsid w:val="35492330"/>
    <w:rsid w:val="359202CF"/>
    <w:rsid w:val="36104C53"/>
    <w:rsid w:val="362D3AB8"/>
    <w:rsid w:val="36533A30"/>
    <w:rsid w:val="367C5B00"/>
    <w:rsid w:val="3770519F"/>
    <w:rsid w:val="377301AD"/>
    <w:rsid w:val="37BF7256"/>
    <w:rsid w:val="37C25F06"/>
    <w:rsid w:val="3862042D"/>
    <w:rsid w:val="392A7A57"/>
    <w:rsid w:val="39363667"/>
    <w:rsid w:val="39A85363"/>
    <w:rsid w:val="39BA6FFB"/>
    <w:rsid w:val="3D5B3B5C"/>
    <w:rsid w:val="3E675C0A"/>
    <w:rsid w:val="3EEFC785"/>
    <w:rsid w:val="3F5B2B9D"/>
    <w:rsid w:val="3FE97C82"/>
    <w:rsid w:val="414F2D38"/>
    <w:rsid w:val="42457E9C"/>
    <w:rsid w:val="4374370A"/>
    <w:rsid w:val="43987EF1"/>
    <w:rsid w:val="43FE3EE3"/>
    <w:rsid w:val="442125DA"/>
    <w:rsid w:val="454A6E82"/>
    <w:rsid w:val="45E217EA"/>
    <w:rsid w:val="45FB5A1D"/>
    <w:rsid w:val="462907DC"/>
    <w:rsid w:val="4651318A"/>
    <w:rsid w:val="4669507C"/>
    <w:rsid w:val="469A78E3"/>
    <w:rsid w:val="47021626"/>
    <w:rsid w:val="47460100"/>
    <w:rsid w:val="47684254"/>
    <w:rsid w:val="48682323"/>
    <w:rsid w:val="493911EC"/>
    <w:rsid w:val="4A5B5089"/>
    <w:rsid w:val="4AA76507"/>
    <w:rsid w:val="4B1D1A64"/>
    <w:rsid w:val="4B2C6678"/>
    <w:rsid w:val="4B5146DF"/>
    <w:rsid w:val="4B9C21C7"/>
    <w:rsid w:val="4C1F5FB4"/>
    <w:rsid w:val="4C667968"/>
    <w:rsid w:val="4D8031C4"/>
    <w:rsid w:val="4EFF5B7A"/>
    <w:rsid w:val="4F165675"/>
    <w:rsid w:val="4F7E2E61"/>
    <w:rsid w:val="5015592D"/>
    <w:rsid w:val="505F0607"/>
    <w:rsid w:val="50795EBC"/>
    <w:rsid w:val="50B9351F"/>
    <w:rsid w:val="510F0E6C"/>
    <w:rsid w:val="516528E4"/>
    <w:rsid w:val="516B799A"/>
    <w:rsid w:val="527F3531"/>
    <w:rsid w:val="52D12EEC"/>
    <w:rsid w:val="53D85EF2"/>
    <w:rsid w:val="53F252D8"/>
    <w:rsid w:val="53F954E5"/>
    <w:rsid w:val="54610180"/>
    <w:rsid w:val="5474401C"/>
    <w:rsid w:val="550725F1"/>
    <w:rsid w:val="55B65A3B"/>
    <w:rsid w:val="56710C54"/>
    <w:rsid w:val="56EE4453"/>
    <w:rsid w:val="57704111"/>
    <w:rsid w:val="57A44166"/>
    <w:rsid w:val="596268B2"/>
    <w:rsid w:val="5AA47EA3"/>
    <w:rsid w:val="5AF56A87"/>
    <w:rsid w:val="5AFA22EF"/>
    <w:rsid w:val="5B6C6CCB"/>
    <w:rsid w:val="5BC22E0D"/>
    <w:rsid w:val="5BC87F7F"/>
    <w:rsid w:val="5C107902"/>
    <w:rsid w:val="5C764137"/>
    <w:rsid w:val="5CEF3C87"/>
    <w:rsid w:val="5D8E583C"/>
    <w:rsid w:val="5E3D49CC"/>
    <w:rsid w:val="5E587687"/>
    <w:rsid w:val="5F3833E6"/>
    <w:rsid w:val="5F5A3835"/>
    <w:rsid w:val="5FB42EFB"/>
    <w:rsid w:val="60624BBE"/>
    <w:rsid w:val="608E59B3"/>
    <w:rsid w:val="61AB3FD4"/>
    <w:rsid w:val="62832BCA"/>
    <w:rsid w:val="62CD312A"/>
    <w:rsid w:val="62EE7F47"/>
    <w:rsid w:val="631055CE"/>
    <w:rsid w:val="6332481E"/>
    <w:rsid w:val="63A36518"/>
    <w:rsid w:val="64147E05"/>
    <w:rsid w:val="64593E09"/>
    <w:rsid w:val="64FE413D"/>
    <w:rsid w:val="65605D17"/>
    <w:rsid w:val="677728E1"/>
    <w:rsid w:val="6784100F"/>
    <w:rsid w:val="680A1785"/>
    <w:rsid w:val="68294213"/>
    <w:rsid w:val="692945A2"/>
    <w:rsid w:val="69562066"/>
    <w:rsid w:val="69B11D0C"/>
    <w:rsid w:val="6A576E16"/>
    <w:rsid w:val="6A6C44D1"/>
    <w:rsid w:val="6B032AFA"/>
    <w:rsid w:val="6BC94BF8"/>
    <w:rsid w:val="6C0703C8"/>
    <w:rsid w:val="6CED1CB3"/>
    <w:rsid w:val="6D0019E7"/>
    <w:rsid w:val="6D14701B"/>
    <w:rsid w:val="6DD8201C"/>
    <w:rsid w:val="6E684D47"/>
    <w:rsid w:val="6E6E15BC"/>
    <w:rsid w:val="6ED1406A"/>
    <w:rsid w:val="6F042819"/>
    <w:rsid w:val="70161521"/>
    <w:rsid w:val="703A6435"/>
    <w:rsid w:val="72054CDF"/>
    <w:rsid w:val="7266063B"/>
    <w:rsid w:val="73502E3D"/>
    <w:rsid w:val="73D31512"/>
    <w:rsid w:val="73E007D8"/>
    <w:rsid w:val="74297A2E"/>
    <w:rsid w:val="747A41C1"/>
    <w:rsid w:val="74C635F2"/>
    <w:rsid w:val="762F49F0"/>
    <w:rsid w:val="764206AB"/>
    <w:rsid w:val="764B4F6C"/>
    <w:rsid w:val="784C1F84"/>
    <w:rsid w:val="7AEF7302"/>
    <w:rsid w:val="7B1C5D28"/>
    <w:rsid w:val="7DAE29B8"/>
    <w:rsid w:val="7DB02B16"/>
    <w:rsid w:val="7DED4A63"/>
    <w:rsid w:val="7DEE6429"/>
    <w:rsid w:val="7E154064"/>
    <w:rsid w:val="7E5C3341"/>
    <w:rsid w:val="7E6D2359"/>
    <w:rsid w:val="7E870D3A"/>
    <w:rsid w:val="7EAE5DF7"/>
    <w:rsid w:val="7EF42A2E"/>
    <w:rsid w:val="7FAB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BE3EC3-580F-4687-8A47-A2EF1344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uiPriority w:val="9"/>
    <w:qFormat/>
    <w:pPr>
      <w:spacing w:before="120" w:after="360" w:line="480" w:lineRule="exact"/>
      <w:contextualSpacing/>
      <w:jc w:val="center"/>
      <w:outlineLvl w:val="0"/>
    </w:pPr>
    <w:rPr>
      <w:rFonts w:ascii="Times New Roman" w:eastAsia="微软雅黑" w:hAnsi="Times New Roman" w:cs="Times New Roman"/>
      <w:b/>
      <w:bCs/>
      <w:iCs/>
      <w:color w:val="0F243E"/>
      <w:sz w:val="32"/>
      <w:szCs w:val="22"/>
    </w:rPr>
  </w:style>
  <w:style w:type="paragraph" w:styleId="2">
    <w:name w:val="heading 2"/>
    <w:basedOn w:val="a"/>
    <w:next w:val="a"/>
    <w:unhideWhenUsed/>
    <w:qFormat/>
    <w:pPr>
      <w:numPr>
        <w:numId w:val="1"/>
      </w:numPr>
      <w:spacing w:beforeLines="50"/>
      <w:ind w:firstLine="0"/>
      <w:contextualSpacing/>
      <w:outlineLvl w:val="1"/>
    </w:pPr>
    <w:rPr>
      <w:rFonts w:ascii="Times New Roman" w:eastAsia="微软雅黑" w:hAnsi="Times New Roman" w:cs="Times New Roman"/>
      <w:b/>
      <w:bCs/>
      <w:iCs/>
      <w:color w:val="000000" w:themeColor="text1"/>
      <w:sz w:val="28"/>
      <w:szCs w:val="22"/>
    </w:rPr>
  </w:style>
  <w:style w:type="paragraph" w:styleId="4">
    <w:name w:val="heading 4"/>
    <w:basedOn w:val="a"/>
    <w:next w:val="a"/>
    <w:autoRedefine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="420"/>
    </w:pPr>
  </w:style>
  <w:style w:type="paragraph" w:styleId="a4">
    <w:name w:val="annotation text"/>
    <w:basedOn w:val="a"/>
    <w:qFormat/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before="120" w:after="120" w:line="240" w:lineRule="atLeast"/>
      <w:ind w:firstLineChars="200" w:firstLine="200"/>
      <w:jc w:val="both"/>
    </w:pPr>
    <w:rPr>
      <w:rFonts w:ascii="Times New Roman" w:hAnsi="Times New Roman" w:cs="Times New Roman"/>
      <w:iCs/>
      <w:color w:val="000000" w:themeColor="text1"/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20" w:after="120" w:line="240" w:lineRule="atLeast"/>
      <w:ind w:firstLineChars="200" w:firstLine="200"/>
      <w:jc w:val="center"/>
    </w:pPr>
    <w:rPr>
      <w:rFonts w:ascii="Times New Roman" w:hAnsi="Times New Roman" w:cs="Times New Roman"/>
      <w:iCs/>
      <w:color w:val="000000" w:themeColor="text1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jc w:val="both"/>
    </w:pPr>
  </w:style>
  <w:style w:type="table" w:styleId="a9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qFormat/>
    <w:rPr>
      <w:b/>
    </w:rPr>
  </w:style>
  <w:style w:type="paragraph" w:styleId="ab">
    <w:name w:val="List Paragraph"/>
    <w:basedOn w:val="a"/>
    <w:autoRedefine/>
    <w:uiPriority w:val="34"/>
    <w:qFormat/>
    <w:pPr>
      <w:spacing w:before="120" w:after="120"/>
      <w:ind w:left="720" w:firstLineChars="200" w:firstLine="200"/>
      <w:contextualSpacing/>
      <w:jc w:val="both"/>
    </w:pPr>
    <w:rPr>
      <w:rFonts w:ascii="Times New Roman" w:hAnsi="Times New Roman" w:cs="Times New Roman"/>
      <w:iCs/>
      <w:color w:val="000000" w:themeColor="text1"/>
      <w:sz w:val="21"/>
      <w:szCs w:val="20"/>
    </w:rPr>
  </w:style>
  <w:style w:type="character" w:customStyle="1" w:styleId="Char">
    <w:name w:val="批注框文本 Char"/>
    <w:basedOn w:val="a1"/>
    <w:link w:val="a5"/>
    <w:qFormat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1189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陈小磊</dc:creator>
  <cp:lastModifiedBy>user</cp:lastModifiedBy>
  <cp:revision>2</cp:revision>
  <cp:lastPrinted>2025-12-19T05:40:00Z</cp:lastPrinted>
  <dcterms:created xsi:type="dcterms:W3CDTF">2026-01-08T05:26:00Z</dcterms:created>
  <dcterms:modified xsi:type="dcterms:W3CDTF">2026-01-08T05:26:00Z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DEA6BE55EC114F1581B132572562332B_13</vt:lpwstr>
  </property>
  <property fmtid="{D5CDD505-2E9C-101B-9397-08002B2CF9AE}" pid="4" name="KSOTemplateDocerSaveRecord">
    <vt:lpwstr>eyJoZGlkIjoiYTc4YzI3NmVlMDE0YmY3MWY3MDBlZGJlMGJmZGZkNTQiLCJ1c2VySWQiOiIyNjgwODIwMjcifQ==</vt:lpwstr>
  </property>
</Properties>
</file>